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2021-07-01 07:57:51</w:t>
      </w:r>
    </w:p>
    <w:bookmarkStart w:id="27" w:name="abstract"/>
    <w:p>
      <w:pPr>
        <w:pStyle w:val="Heading1"/>
      </w:pPr>
      <w:r>
        <w:t xml:space="preserve">Abstract</w:t>
      </w:r>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Cs/>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Cs/>
          <w:i/>
        </w:rPr>
        <w:t xml:space="preserve">wqtrends</w:t>
      </w:r>
      <w:r>
        <w:t xml:space="preserve"> </w:t>
      </w:r>
      <w:r>
        <w:t xml:space="preserve">R package.</w:t>
      </w:r>
    </w:p>
    <w:p>
      <w:pPr>
        <w:pStyle w:val="BodyText"/>
      </w:pPr>
      <w:r>
        <w:rPr>
          <w:iCs/>
          <w:i/>
        </w:rPr>
        <w:t xml:space="preserve">Key words</w:t>
      </w:r>
      <w:r>
        <w:t xml:space="preserve">: chlorophyll, Generalized Additive Models, meta-analysis, San Francisco Estuary, Trend analysis</w:t>
      </w:r>
    </w:p>
    <w:bookmarkEnd w:id="27"/>
    <w:bookmarkStart w:id="30" w:name="introduction"/>
    <w:p>
      <w:pPr>
        <w:pStyle w:val="Heading1"/>
      </w:pPr>
      <w:r>
        <w:t xml:space="preserve">Introduction</w:t>
      </w:r>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w:t>
      </w:r>
      <w:hyperlink w:anchor="ref-Cumming06">
        <w:r>
          <w:rPr>
            <w:rStyle w:val="Hyperlink"/>
          </w:rPr>
          <w:t xml:space="preserve">Cumming et al., 2006</w:t>
        </w:r>
      </w:hyperlink>
      <w:r>
        <w:t xml:space="preserve">;</w:t>
      </w:r>
      <w:r>
        <w:t xml:space="preserve"> </w:t>
      </w:r>
      <w:hyperlink w:anchor="ref-Forbes18">
        <w:r>
          <w:rPr>
            <w:rStyle w:val="Hyperlink"/>
          </w:rPr>
          <w:t xml:space="preserve">Forbes and Xie, 2018</w:t>
        </w:r>
      </w:hyperlink>
      <w:r>
        <w:t xml:space="preserve">;</w:t>
      </w:r>
      <w:r>
        <w:t xml:space="preserve"> </w:t>
      </w:r>
      <w:hyperlink w:anchor="ref-Urquhart98">
        <w:r>
          <w:rPr>
            <w:rStyle w:val="Hyperlink"/>
          </w:rPr>
          <w:t xml:space="preserve">Urquhart et al., 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w:t>
      </w:r>
      <w:r>
        <w:t xml:space="preserve"> </w:t>
      </w:r>
      <w:hyperlink w:anchor="ref-Wan17">
        <w:r>
          <w:rPr>
            <w:rStyle w:val="Hyperlink"/>
          </w:rPr>
          <w:t xml:space="preserve">Wan et al.</w:t>
        </w:r>
      </w:hyperlink>
      <w:r>
        <w:t xml:space="preserve"> </w:t>
      </w:r>
      <w:r>
        <w:t xml:space="preserve">(</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w:t>
      </w:r>
      <w:hyperlink w:anchor="ref-Cleveland90">
        <w:r>
          <w:rPr>
            <w:rStyle w:val="Hyperlink"/>
          </w:rPr>
          <w:t xml:space="preserve">Cleveland et al., 1990</w:t>
        </w:r>
      </w:hyperlink>
      <w:r>
        <w:t xml:space="preserve">;</w:t>
      </w:r>
      <w:r>
        <w:t xml:space="preserve"> </w:t>
      </w:r>
      <w:hyperlink w:anchor="ref-Cloern10">
        <w:r>
          <w:rPr>
            <w:rStyle w:val="Hyperlink"/>
          </w:rPr>
          <w:t xml:space="preserve">Cloern and Jassby, 2010</w:t>
        </w:r>
      </w:hyperlink>
      <w:r>
        <w:t xml:space="preserve">;</w:t>
      </w:r>
      <w:r>
        <w:t xml:space="preserve"> </w:t>
      </w:r>
      <w:hyperlink w:anchor="ref-Stow15">
        <w:r>
          <w:rPr>
            <w:rStyle w:val="Hyperlink"/>
          </w:rPr>
          <w:t xml:space="preserve">Stow et al., 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w:t>
      </w:r>
      <w:r>
        <w:t xml:space="preserve"> </w:t>
      </w:r>
      <w:hyperlink w:anchor="ref-Wan17">
        <w:r>
          <w:rPr>
            <w:rStyle w:val="Hyperlink"/>
          </w:rPr>
          <w:t xml:space="preserve">Wan et al., 2017</w:t>
        </w:r>
      </w:hyperlink>
      <w:r>
        <w:t xml:space="preserve">)</w:t>
      </w:r>
      <w:r>
        <w:t xml:space="preserve">, and it does not usually estimate standard errors to allow hypothesis testing</w:t>
      </w:r>
      <w:r>
        <w:t xml:space="preserve"> </w:t>
      </w:r>
      <w:r>
        <w:t xml:space="preserve">(but see</w:t>
      </w:r>
      <w:r>
        <w:t xml:space="preserve"> </w:t>
      </w:r>
      <w:hyperlink w:anchor="ref-Hafen10">
        <w:r>
          <w:rPr>
            <w:rStyle w:val="Hyperlink"/>
          </w:rPr>
          <w:t xml:space="preserve">Hafen, 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w:t>
      </w:r>
      <w:hyperlink w:anchor="ref-Cloern10">
        <w:r>
          <w:rPr>
            <w:rStyle w:val="Hyperlink"/>
          </w:rPr>
          <w:t xml:space="preserve">Cloern and Jassby, 2010</w:t>
        </w:r>
      </w:hyperlink>
      <w:r>
        <w:t xml:space="preserve">;</w:t>
      </w:r>
      <w:r>
        <w:t xml:space="preserve"> </w:t>
      </w:r>
      <w:hyperlink w:anchor="ref-Navarro12">
        <w:r>
          <w:rPr>
            <w:rStyle w:val="Hyperlink"/>
          </w:rPr>
          <w:t xml:space="preserve">Navarro et al., 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w:t>
      </w:r>
      <w:hyperlink w:anchor="ref-Beck18b">
        <w:r>
          <w:rPr>
            <w:rStyle w:val="Hyperlink"/>
          </w:rPr>
          <w:t xml:space="preserve">Beck et al., 2018</w:t>
        </w:r>
      </w:hyperlink>
      <w:r>
        <w:t xml:space="preserve">;</w:t>
      </w:r>
      <w:r>
        <w:t xml:space="preserve"> </w:t>
      </w:r>
      <w:hyperlink w:anchor="ref-Beck15">
        <w:r>
          <w:rPr>
            <w:rStyle w:val="Hyperlink"/>
          </w:rPr>
          <w:t xml:space="preserve">Beck and Hagy, 2015</w:t>
        </w:r>
      </w:hyperlink>
      <w:r>
        <w:t xml:space="preserve">;</w:t>
      </w:r>
      <w:r>
        <w:t xml:space="preserve"> </w:t>
      </w:r>
      <w:hyperlink w:anchor="ref-Hirsch10">
        <w:r>
          <w:rPr>
            <w:rStyle w:val="Hyperlink"/>
          </w:rPr>
          <w:t xml:space="preserve">Hirsch et al., 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w:t>
      </w:r>
      <w:hyperlink w:anchor="ref-Hirsch15">
        <w:r>
          <w:rPr>
            <w:rStyle w:val="Hyperlink"/>
          </w:rPr>
          <w:t xml:space="preserve">Hirsch et al., 2015</w:t>
        </w:r>
      </w:hyperlink>
      <w:r>
        <w:t xml:space="preserve">)</w:t>
      </w:r>
      <w:r>
        <w:t xml:space="preserve">. Although a useful addition to the original method</w:t>
      </w:r>
      <w:r>
        <w:t xml:space="preserve"> </w:t>
      </w:r>
      <w:r>
        <w:t xml:space="preserve">(</w:t>
      </w:r>
      <w:hyperlink w:anchor="ref-Hirsch10">
        <w:r>
          <w:rPr>
            <w:rStyle w:val="Hyperlink"/>
          </w:rPr>
          <w:t xml:space="preserve">Hirsch et al., 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w:t>
      </w:r>
      <w:hyperlink w:anchor="ref-Haraguchi15">
        <w:r>
          <w:rPr>
            <w:rStyle w:val="Hyperlink"/>
          </w:rPr>
          <w:t xml:space="preserve">Haraguchi et al., 2015</w:t>
        </w:r>
      </w:hyperlink>
      <w:r>
        <w:t xml:space="preserve">;</w:t>
      </w:r>
      <w:r>
        <w:t xml:space="preserve"> </w:t>
      </w:r>
      <w:hyperlink w:anchor="ref-He06">
        <w:r>
          <w:rPr>
            <w:rStyle w:val="Hyperlink"/>
          </w:rPr>
          <w:t xml:space="preserve">He et al., 2006</w:t>
        </w:r>
      </w:hyperlink>
      <w:r>
        <w:t xml:space="preserve">;</w:t>
      </w:r>
      <w:r>
        <w:t xml:space="preserve"> </w:t>
      </w:r>
      <w:hyperlink w:anchor="ref-Morton08">
        <w:r>
          <w:rPr>
            <w:rStyle w:val="Hyperlink"/>
          </w:rPr>
          <w:t xml:space="preserve">Morton and Henderson, 2008</w:t>
        </w:r>
      </w:hyperlink>
      <w:r>
        <w:t xml:space="preserve">;</w:t>
      </w:r>
      <w:r>
        <w:t xml:space="preserve"> </w:t>
      </w:r>
      <w:hyperlink w:anchor="ref-Murphy19">
        <w:r>
          <w:rPr>
            <w:rStyle w:val="Hyperlink"/>
          </w:rPr>
          <w:t xml:space="preserve">Murphy et al., 2019</w:t>
        </w:r>
      </w:hyperlink>
      <w:r>
        <w:t xml:space="preserve">;</w:t>
      </w:r>
      <w:r>
        <w:t xml:space="preserve"> </w:t>
      </w:r>
      <w:hyperlink w:anchor="ref-Pearce11">
        <w:r>
          <w:rPr>
            <w:rStyle w:val="Hyperlink"/>
          </w:rPr>
          <w:t xml:space="preserve">Pearce et al., 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w:t>
      </w:r>
      <w:hyperlink w:anchor="ref-Beck17">
        <w:r>
          <w:rPr>
            <w:rStyle w:val="Hyperlink"/>
          </w:rPr>
          <w:t xml:space="preserve">Beck and Murphy, 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t>
      </w:r>
      <w:hyperlink w:anchor="ref-Wood17">
        <w:r>
          <w:rPr>
            <w:rStyle w:val="Hyperlink"/>
          </w:rPr>
          <w:t xml:space="preserve">Wood, 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For example,</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w:t>
      </w:r>
      <w:hyperlink w:anchor="ref-Murphy19">
        <w:r>
          <w:rPr>
            <w:rStyle w:val="Hyperlink"/>
          </w:rPr>
          <w:t xml:space="preserve">Murphy et al., 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w:t>
      </w:r>
      <w:hyperlink w:anchor="ref-Yang20">
        <w:r>
          <w:rPr>
            <w:rStyle w:val="Hyperlink"/>
          </w:rPr>
          <w:t xml:space="preserve">Yang and Moyer, 2020</w:t>
        </w:r>
      </w:hyperlink>
      <w:r>
        <w:t xml:space="preserve">)</w:t>
      </w:r>
      <w:r>
        <w:t xml:space="preserve">, serial correlation in high resolution data</w:t>
      </w:r>
      <w:r>
        <w:t xml:space="preserve"> </w:t>
      </w:r>
      <w:r>
        <w:t xml:space="preserve">(</w:t>
      </w:r>
      <w:hyperlink w:anchor="ref-Morton08">
        <w:r>
          <w:rPr>
            <w:rStyle w:val="Hyperlink"/>
          </w:rPr>
          <w:t xml:space="preserve">Morton and Henderson, 2008</w:t>
        </w:r>
      </w:hyperlink>
      <w:r>
        <w:t xml:space="preserve">;</w:t>
      </w:r>
      <w:r>
        <w:t xml:space="preserve"> </w:t>
      </w:r>
      <w:hyperlink w:anchor="ref-Yang20">
        <w:r>
          <w:rPr>
            <w:rStyle w:val="Hyperlink"/>
          </w:rPr>
          <w:t xml:space="preserve">Yang and Moyer, 2020</w:t>
        </w:r>
      </w:hyperlink>
      <w:r>
        <w:t xml:space="preserve">)</w:t>
      </w:r>
      <w:r>
        <w:t xml:space="preserve">, and quantifying time lags in relationships between response and predictor variables</w:t>
      </w:r>
      <w:r>
        <w:t xml:space="preserve"> </w:t>
      </w:r>
      <w:r>
        <w:t xml:space="preserve">(</w:t>
      </w:r>
      <w:hyperlink w:anchor="ref-Lefcheck17">
        <w:r>
          <w:rPr>
            <w:rStyle w:val="Hyperlink"/>
          </w:rPr>
          <w:t xml:space="preserve">Lefcheck et al., 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t>
      </w:r>
      <w:hyperlink w:anchor="ref-Wood17">
        <w:r>
          <w:rPr>
            <w:rStyle w:val="Hyperlink"/>
          </w:rPr>
          <w:t xml:space="preserve">Wood, 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Cs/>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w:t>
      </w:r>
      <w:r>
        <w:t xml:space="preserve">to address multi-scale trend analysis questions for which seasonal Kendall tests and the more complex STL and WRTDS methods are not well-suited. Herein,</w:t>
      </w:r>
      <w:r>
        <w:t xml:space="preserve"> </w:t>
      </w:r>
      <w:r>
        <w:t xml:space="preserve">“</w:t>
      </w:r>
      <w:r>
        <w:t xml:space="preserve">meta-analysis</w:t>
      </w:r>
      <w:r>
        <w:t xml:space="preserve">”</w:t>
      </w:r>
      <w:r>
        <w:t xml:space="preserve"> </w:t>
      </w:r>
      <w:r>
        <w:t xml:space="preserve">refers to the use of seasonal features and their uncertainty estimates for trend analysis, as compared to meta-analysis for the aggregation of results from multiple studies for analysis of effect sizes or other synthesis results</w:t>
      </w:r>
      <w:r>
        <w:t xml:space="preserve"> </w:t>
      </w:r>
      <w:r>
        <w:t xml:space="preserve">(i.e.,</w:t>
      </w:r>
      <w:r>
        <w:t xml:space="preserve"> </w:t>
      </w:r>
      <w:hyperlink w:anchor="ref-Lortie14">
        <w:r>
          <w:rPr>
            <w:rStyle w:val="Hyperlink"/>
          </w:rPr>
          <w:t xml:space="preserve">Lortie, 2014</w:t>
        </w:r>
      </w:hyperlink>
      <w:r>
        <w:t xml:space="preserve">)</w:t>
      </w:r>
      <w:r>
        <w:t xml:space="preserve">.</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Cs/>
          <w:i/>
        </w:rPr>
        <w:t xml:space="preserve">wqtrends</w:t>
      </w:r>
      <w:r>
        <w:t xml:space="preserve"> </w:t>
      </w:r>
      <w:r>
        <w:t xml:space="preserve">R package developed by the authors</w:t>
      </w:r>
      <w:r>
        <w:t xml:space="preserve"> </w:t>
      </w:r>
      <w:r>
        <w:t xml:space="preserve">(</w:t>
      </w:r>
      <w:hyperlink w:anchor="ref-Beck21">
        <w:r>
          <w:rPr>
            <w:rStyle w:val="Hyperlink"/>
          </w:rPr>
          <w:t xml:space="preserve">Beck et al., 2021</w:t>
        </w:r>
      </w:hyperlink>
      <w:r>
        <w:t xml:space="preserve">, available at</w:t>
      </w:r>
      <w:r>
        <w:t xml:space="preserve"> </w:t>
      </w:r>
      <w:hyperlink r:id="rId28">
        <w:r>
          <w:rPr>
            <w:rStyle w:val="Hyperlink"/>
          </w:rPr>
          <w:t xml:space="preserve">https://tbep-tech.github.io/wqtrends</w:t>
        </w:r>
      </w:hyperlink>
      <w:r>
        <w:t xml:space="preserve">, including an online dashboard for viewing results at</w:t>
      </w:r>
      <w:r>
        <w:t xml:space="preserve"> </w:t>
      </w:r>
      <w:hyperlink r:id="rId29">
        <w:r>
          <w:rPr>
            <w:rStyle w:val="Hyperlink"/>
          </w:rPr>
          <w:t xml:space="preserve">https://nutrient-data.sfei.org/apps/SFbaytrends/</w:t>
        </w:r>
      </w:hyperlink>
      <w:r>
        <w:t xml:space="preserve">)</w:t>
      </w:r>
      <w:r>
        <w:t xml:space="preserve">.</w:t>
      </w:r>
    </w:p>
    <w:bookmarkEnd w:id="30"/>
    <w:bookmarkStart w:id="37" w:name="methods"/>
    <w:p>
      <w:pPr>
        <w:pStyle w:val="Heading1"/>
      </w:pPr>
      <w:r>
        <w:t xml:space="preserve">Methods</w:t>
      </w:r>
    </w:p>
    <w:bookmarkStart w:id="31" w:name="study-area-and-data-sources"/>
    <w:p>
      <w:pPr>
        <w:pStyle w:val="Heading2"/>
      </w:pPr>
      <w:r>
        <w:t xml:space="preserve">Study area and data sources</w:t>
      </w:r>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w:t>
      </w:r>
      <w:hyperlink w:anchor="ref-Cloern12">
        <w:r>
          <w:rPr>
            <w:rStyle w:val="Hyperlink"/>
          </w:rPr>
          <w:t xml:space="preserve">Cloern and Jassby, 2012</w:t>
        </w:r>
      </w:hyperlink>
      <w:r>
        <w:t xml:space="preserve">)</w:t>
      </w:r>
      <w:r>
        <w:t xml:space="preserve">. An estimated 73.8 metric tons dy</w:t>
      </w:r>
      <m:oMath>
        <m:sSup>
          <m:e>
            <m:r>
              <m:t>​</m:t>
            </m:r>
          </m:e>
          <m:sup>
            <m:r>
              <m:rPr>
                <m:sty m:val="p"/>
              </m:rPr>
              <m:t>−</m:t>
            </m:r>
            <m:r>
              <m:t>1</m:t>
            </m:r>
          </m:sup>
        </m:sSup>
      </m:oMath>
      <w:r>
        <w:t xml:space="preserve"> </w:t>
      </w:r>
      <w:r>
        <w:t xml:space="preserve">of inorganic nitrogen are discharged into the Bay, primarily from wastewater</w:t>
      </w:r>
      <w:r>
        <w:t xml:space="preserve"> </w:t>
      </w:r>
      <w:r>
        <w:t xml:space="preserve">(</w:t>
      </w:r>
      <w:hyperlink w:anchor="ref-Novick14">
        <w:r>
          <w:rPr>
            <w:rStyle w:val="Hyperlink"/>
          </w:rPr>
          <w:t xml:space="preserve">Novick and Senn, 2014</w:t>
        </w:r>
      </w:hyperlink>
      <w:r>
        <w:t xml:space="preserve">)</w:t>
      </w:r>
      <w:r>
        <w:t xml:space="preserve">. Agricultural runoff from the upper watershed contributes 30 metric tons dy</w:t>
      </w:r>
      <m:oMath>
        <m:sSup>
          <m:e>
            <m:r>
              <m:t>​</m:t>
            </m:r>
          </m:e>
          <m:sup>
            <m:r>
              <m:rPr>
                <m:sty m:val="p"/>
              </m:rP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w:t>
      </w:r>
      <w:hyperlink w:anchor="ref-Alpine88">
        <w:r>
          <w:rPr>
            <w:rStyle w:val="Hyperlink"/>
          </w:rPr>
          <w:t xml:space="preserve">Alpine and Cloern, 1988</w:t>
        </w:r>
      </w:hyperlink>
      <w:r>
        <w:t xml:space="preserve">;</w:t>
      </w:r>
      <w:r>
        <w:t xml:space="preserve"> </w:t>
      </w:r>
      <w:hyperlink w:anchor="ref-Cole84">
        <w:r>
          <w:rPr>
            <w:rStyle w:val="Hyperlink"/>
          </w:rPr>
          <w:t xml:space="preserve">Cole and Cloern, 1984</w:t>
        </w:r>
      </w:hyperlink>
      <w:r>
        <w:t xml:space="preserve">;</w:t>
      </w:r>
      <w:r>
        <w:t xml:space="preserve"> </w:t>
      </w:r>
      <w:hyperlink w:anchor="ref-Jassby08">
        <w:r>
          <w:rPr>
            <w:rStyle w:val="Hyperlink"/>
          </w:rPr>
          <w:t xml:space="preserve">Jassby, 2008</w:t>
        </w:r>
      </w:hyperlink>
      <w:r>
        <w:t xml:space="preserve">;</w:t>
      </w:r>
      <w:r>
        <w:t xml:space="preserve"> </w:t>
      </w:r>
      <w:hyperlink w:anchor="ref-Kimmerer14">
        <w:r>
          <w:rPr>
            <w:rStyle w:val="Hyperlink"/>
          </w:rPr>
          <w:t xml:space="preserve">Kimmerer and Thompson, 2014</w:t>
        </w:r>
      </w:hyperlink>
      <w:r>
        <w:t xml:space="preserve">;</w:t>
      </w:r>
      <w:r>
        <w:t xml:space="preserve"> </w:t>
      </w:r>
      <w:hyperlink w:anchor="ref-Lehman17">
        <w:r>
          <w:rPr>
            <w:rStyle w:val="Hyperlink"/>
          </w:rPr>
          <w:t xml:space="preserve">Lehman et al., 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w:t>
      </w:r>
      <w:hyperlink w:anchor="ref-Cloern20">
        <w:r>
          <w:rPr>
            <w:rStyle w:val="Hyperlink"/>
          </w:rPr>
          <w:t xml:space="preserve">Cloern et al., 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Sampling frequency varied somewhat over time and by station. Approximate monthly or biweekly sampling with coverage of at least a decade is common for many long-term monitoring programs and is the intended use case for the methods herein.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bookmarkEnd w:id="31"/>
    <w:bookmarkStart w:id="36" w:name="gams-with-uncertainty-propagation"/>
    <w:p>
      <w:pPr>
        <w:pStyle w:val="Heading2"/>
      </w:pPr>
      <w:r>
        <w:t xml:space="preserve">GAMs with uncertainty propagation</w:t>
      </w:r>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Meta-analysis uses response data that includes standard errors (uncertainties) as needed to address our questions.</w:t>
      </w:r>
    </w:p>
    <w:bookmarkStart w:id="32" w:name="first-stage-analysis-gam-estimation"/>
    <w:p>
      <w:pPr>
        <w:pStyle w:val="Heading3"/>
      </w:pPr>
      <w:r>
        <w:t xml:space="preserve">First-stage analysis: GAM estimation</w:t>
      </w:r>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All models were created using the</w:t>
      </w:r>
      <w:r>
        <w:t xml:space="preserve"> </w:t>
      </w:r>
      <w:r>
        <w:rPr>
          <w:rStyle w:val="VerbatimChar"/>
        </w:rPr>
        <w:t xml:space="preserve">mgcv</w:t>
      </w:r>
      <w:r>
        <w:t xml:space="preserve"> </w:t>
      </w:r>
      <w:r>
        <w:t xml:space="preserve">R package</w:t>
      </w:r>
      <w:r>
        <w:t xml:space="preserve"> </w:t>
      </w:r>
      <w:r>
        <w:t xml:space="preserve">(</w:t>
      </w:r>
      <w:hyperlink w:anchor="ref-RCT20">
        <w:r>
          <w:rPr>
            <w:rStyle w:val="Hyperlink"/>
          </w:rPr>
          <w:t xml:space="preserve">R Core Team, 2020</w:t>
        </w:r>
      </w:hyperlink>
      <w:r>
        <w:t xml:space="preserve">;</w:t>
      </w:r>
      <w:r>
        <w:t xml:space="preserve"> </w:t>
      </w:r>
      <w:hyperlink w:anchor="ref-Wood17">
        <w:r>
          <w:rPr>
            <w:rStyle w:val="Hyperlink"/>
          </w:rPr>
          <w:t xml:space="preserve">Wood, 2017</w:t>
        </w:r>
      </w:hyperlink>
      <w:r>
        <w:t xml:space="preserve">)</w:t>
      </w:r>
      <w:r>
        <w:t xml:space="preserve">, with utility functions included in the</w:t>
      </w:r>
      <w:r>
        <w:t xml:space="preserve"> </w:t>
      </w:r>
      <w:r>
        <w:rPr>
          <w:rStyle w:val="VerbatimChar"/>
        </w:rPr>
        <w:t xml:space="preserve">wqtrends</w:t>
      </w:r>
      <w:r>
        <w:t xml:space="preserve"> </w:t>
      </w:r>
      <w:r>
        <w:t xml:space="preserve">package created by the authors</w:t>
      </w:r>
      <w:r>
        <w:t xml:space="preserve"> </w:t>
      </w:r>
      <w:r>
        <w:t xml:space="preserve">(</w:t>
      </w:r>
      <w:hyperlink w:anchor="ref-Beck21">
        <w:r>
          <w:rPr>
            <w:rStyle w:val="Hyperlink"/>
          </w:rPr>
          <w:t xml:space="preserve">Beck et al., 2021</w:t>
        </w:r>
      </w:hyperlink>
      <w:r>
        <w:t xml:space="preserve">)</w:t>
      </w:r>
      <w:r>
        <w:t xml:space="preserve">.</w:t>
      </w:r>
    </w:p>
    <w:p>
      <w:pPr>
        <w:pStyle w:val="BodyText"/>
      </w:pPr>
      <w:r>
        <w:t xml:space="preserve">The simplest GAM for this purpose is expressed as:</w:t>
      </w:r>
    </w:p>
    <w:p>
      <w:pPr>
        <w:pStyle w:val="BodyText"/>
      </w:pPr>
      <m:oMathPara>
        <m:oMathParaPr>
          <m:jc m:val="center"/>
        </m:oMathParaPr>
        <m:oMath>
          <m:r>
            <m:rPr>
              <m:nor/>
              <m:sty m:val="p"/>
            </m:rPr>
            <m:t>Model S:</m:t>
          </m:r>
          <m:sSub>
            <m:e>
              <m:r>
                <m:t>y</m:t>
              </m:r>
            </m:e>
            <m:sub>
              <m:r>
                <m:t>i</m:t>
              </m:r>
            </m:sub>
          </m:sSub>
          <m:r>
            <m:rPr>
              <m:sty m:val="p"/>
            </m:rPr>
            <m:t>∼</m:t>
          </m:r>
          <m:r>
            <m:t> </m:t>
          </m:r>
          <m:sSub>
            <m:e>
              <m:r>
                <m:t>β</m:t>
              </m:r>
            </m:e>
            <m:sub>
              <m:r>
                <m:t>0</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1</m:t>
          </m:r>
          <m:r>
            <m:rPr>
              <m:sty m:val="p"/>
            </m:rPr>
            <m:t>)</m:t>
          </m:r>
        </m:oMath>
      </m:oMathPara>
    </w:p>
    <w:p>
      <w:pPr>
        <w:pStyle w:val="FirstParagraph"/>
      </w:pPr>
      <w:r>
        <w:t xml:space="preserve">where</w:t>
      </w:r>
      <w:r>
        <w:t xml:space="preserve"> </w:t>
      </w:r>
      <w:r>
        <w:rPr>
          <w:rStyle w:val="VerbatimChar"/>
        </w:rPr>
        <w:t xml:space="preserve">y</w:t>
      </w:r>
      <w:r>
        <w:t xml:space="preserve"> </w:t>
      </w:r>
      <w:r>
        <w:t xml:space="preserve">is the time series of interest, such as chl-a, for observation</w:t>
      </w:r>
      <w:r>
        <w:t xml:space="preserve"> </w:t>
      </w:r>
      <m:oMath>
        <m:r>
          <m:t>i</m:t>
        </m:r>
      </m:oMath>
      <w:r>
        <w:t xml:space="preserve"> </w:t>
      </w:r>
      <w:r>
        <w:t xml:space="preserve">explained by an intercept-term</w:t>
      </w:r>
      <w:r>
        <w:t xml:space="preserve"> </w:t>
      </w:r>
      <m:oMath>
        <m:sSub>
          <m:e>
            <m:r>
              <m:t>β</m:t>
            </m:r>
          </m:e>
          <m:sub>
            <m:r>
              <m:t>0</m:t>
            </m:r>
          </m:sub>
        </m:sSub>
      </m:oMath>
      <w:r>
        <w:t xml:space="preserve"> </w:t>
      </w:r>
      <w:r>
        <w:t xml:space="preserve">and a smooth function</w:t>
      </w:r>
      <w:r>
        <w:t xml:space="preserve"> </w:t>
      </w:r>
      <m:oMath>
        <m:sSub>
          <m:e>
            <m:r>
              <m:t>f</m:t>
            </m:r>
          </m:e>
          <m:sub>
            <m:r>
              <m:t>1</m:t>
            </m:r>
          </m:sub>
        </m:sSub>
        <m:r>
          <m:rPr>
            <m:sty m:val="p"/>
          </m:rPr>
          <m:t>(</m:t>
        </m:r>
        <m:r>
          <m:rPr>
            <m:sty m:val="p"/>
          </m:rPr>
          <m:t>)</m:t>
        </m:r>
      </m:oMath>
      <w:r>
        <w:t xml:space="preserve"> </w:t>
      </w:r>
      <w:r>
        <w:t xml:space="preserve">for</w:t>
      </w:r>
      <w:r>
        <w:t xml:space="preserve"> </w:t>
      </w:r>
      <w:r>
        <w:rPr>
          <w:rStyle w:val="VerbatimChar"/>
        </w:rPr>
        <w:t xml:space="preserve">cont_year</w:t>
      </w:r>
      <w:r>
        <w:t xml:space="preserve"> </w:t>
      </w:r>
      <w:r>
        <w:t xml:space="preserve">as</w:t>
      </w:r>
      <w:r>
        <w:t xml:space="preserve"> </w:t>
      </w:r>
      <w:r>
        <w:t xml:space="preserve">“</w:t>
      </w:r>
      <w:r>
        <w:t xml:space="preserve">continuous year</w:t>
      </w:r>
      <w:r>
        <w:t xml:space="preserve">”</w:t>
      </w:r>
      <w:r>
        <w:t xml:space="preserve"> </w:t>
      </w:r>
      <w:r>
        <w:t xml:space="preserve">represented as a continuous numerical date (e.g., July 1st 2019 would be 2019.5). The</w:t>
      </w:r>
      <w:r>
        <w:t xml:space="preserve"> </w:t>
      </w:r>
      <m:oMath>
        <m:sSub>
          <m:e>
            <m:r>
              <m:t>f</m:t>
            </m:r>
          </m:e>
          <m:sub>
            <m:r>
              <m:t>1</m:t>
            </m:r>
          </m:sub>
        </m:sSub>
        <m:r>
          <m:rPr>
            <m:sty m:val="p"/>
          </m:rPr>
          <m:t>(</m:t>
        </m:r>
        <m:r>
          <m:rPr>
            <m:sty m:val="p"/>
          </m:rPr>
          <m:t>)</m:t>
        </m:r>
      </m:oMath>
      <w:r>
        <w:t xml:space="preserve"> </w:t>
      </w:r>
      <w:r>
        <w:t xml:space="preserve">function is a smoothing spline composed of the sum of multiple</w:t>
      </w:r>
      <w:r>
        <w:t xml:space="preserve"> </w:t>
      </w:r>
      <w:r>
        <w:t xml:space="preserve">“</w:t>
      </w:r>
      <w:r>
        <w:t xml:space="preserve">basis functions</w:t>
      </w:r>
      <w:r>
        <w:t xml:space="preserve">”</w:t>
      </w:r>
      <w:r>
        <w:t xml:space="preserve"> </w:t>
      </w:r>
      <w:r>
        <w:t xml:space="preserve">describing the relationship of</w:t>
      </w:r>
      <w:r>
        <w:t xml:space="preserve"> </w:t>
      </w:r>
      <m:oMath>
        <m:r>
          <m:t>c</m:t>
        </m:r>
        <m:r>
          <m:t>o</m:t>
        </m:r>
        <m:r>
          <m:t>n</m:t>
        </m:r>
        <m:r>
          <m:t>t</m:t>
        </m:r>
        <m:r>
          <m:rPr>
            <m:sty m:val="p"/>
          </m:rPr>
          <m:t>_</m:t>
        </m:r>
        <m:r>
          <m:t>y</m:t>
        </m:r>
        <m:r>
          <m:t>e</m:t>
        </m:r>
        <m:r>
          <m:t>a</m:t>
        </m:r>
        <m:r>
          <m:t>r</m:t>
        </m:r>
      </m:oMath>
      <w:r>
        <w:t xml:space="preserve"> </w:t>
      </w:r>
      <w:r>
        <w:t xml:space="preserve">with</w:t>
      </w:r>
      <w:r>
        <w:t xml:space="preserve"> </w:t>
      </w:r>
      <m:oMath>
        <m:r>
          <m:t>y</m:t>
        </m:r>
      </m:oMath>
      <w:r>
        <w:t xml:space="preserve"> </w:t>
      </w:r>
      <w:r>
        <w:t xml:space="preserve">(</w:t>
      </w:r>
      <w:hyperlink w:anchor="ref-Wood17">
        <w:r>
          <w:rPr>
            <w:rStyle w:val="Hyperlink"/>
          </w:rPr>
          <w:t xml:space="preserve">Wood, 2017</w:t>
        </w:r>
      </w:hyperlink>
      <w:r>
        <w:t xml:space="preserve">)</w:t>
      </w:r>
      <w:r>
        <w:t xml:space="preserve">. The smoothing splines includes a user-specified number of knots or</w:t>
      </w:r>
      <w:r>
        <w:t xml:space="preserve"> </w:t>
      </w:r>
      <w:r>
        <w:t xml:space="preserve">“</w:t>
      </w:r>
      <w:r>
        <w:t xml:space="preserve">connections</w:t>
      </w:r>
      <w:r>
        <w:t xml:space="preserve">”</w:t>
      </w:r>
      <w:r>
        <w:t xml:space="preserve"> </w:t>
      </w:r>
      <w:r>
        <w:t xml:space="preserve">along the spline. The</w:t>
      </w:r>
      <w:r>
        <w:t xml:space="preserve"> </w:t>
      </w:r>
      <m:oMath>
        <m:r>
          <m:t>ϵ</m:t>
        </m:r>
      </m:oMath>
      <w:r>
        <w:t xml:space="preserve"> </w:t>
      </w:r>
      <w:r>
        <w:t xml:space="preserve">term is for model errors having normal distribution with mean zero and constant variance.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t>
      </w:r>
      <w:hyperlink w:anchor="ref-Wood04">
        <w:r>
          <w:rPr>
            <w:rStyle w:val="Hyperlink"/>
          </w:rPr>
          <w:t xml:space="preserve">Wood, 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w:t>
      </w:r>
      <w:r>
        <w:t xml:space="preserve"> </w:t>
      </w:r>
      <m:oMath>
        <m:sSub>
          <m:e>
            <m:r>
              <m:t>f</m:t>
            </m:r>
          </m:e>
          <m:sub>
            <m:r>
              <m:t>1</m:t>
            </m:r>
          </m:sub>
        </m:sSub>
        <m:r>
          <m:rPr>
            <m:sty m:val="p"/>
          </m:rPr>
          <m:t>(</m:t>
        </m:r>
        <m:r>
          <m:rPr>
            <m:sty m:val="p"/>
          </m:rPr>
          <m:t>)</m:t>
        </m:r>
      </m:oMath>
      <w:r>
        <w:t xml:space="preserve"> </w:t>
      </w:r>
      <w:r>
        <w:t xml:space="preserve">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m:oMathPara>
        <m:oMathParaPr>
          <m:jc m:val="center"/>
        </m:oMathParaPr>
        <m:oMath>
          <m:r>
            <m:rPr>
              <m:nor/>
              <m:sty m:val="p"/>
            </m:rPr>
            <m:t>Model SY:</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2</m:t>
          </m:r>
          <m:r>
            <m:rPr>
              <m:sty m:val="p"/>
            </m:rPr>
            <m:t>)</m:t>
          </m:r>
        </m:oMath>
      </m:oMathPara>
    </w:p>
    <w:p>
      <w:pPr>
        <w:pStyle w:val="FirstParagraph"/>
      </w:pPr>
      <w:r>
        <w:t xml:space="preserve">where equation (2) is the same as equation (1) with the addition of a linear term for</w:t>
      </w:r>
      <w:r>
        <w:t xml:space="preserve"> </w:t>
      </w:r>
      <m:oMath>
        <m:r>
          <m:t>c</m:t>
        </m:r>
        <m:r>
          <m:t>o</m:t>
        </m:r>
        <m:r>
          <m:t>n</m:t>
        </m:r>
        <m:r>
          <m:t>t</m:t>
        </m:r>
        <m:r>
          <m:rPr>
            <m:sty m:val="p"/>
          </m:rPr>
          <m:t>_</m:t>
        </m:r>
        <m:r>
          <m:t>y</m:t>
        </m:r>
        <m:r>
          <m:t>e</m:t>
        </m:r>
        <m:r>
          <m:t>a</m:t>
        </m:r>
        <m:r>
          <m:t>r</m:t>
        </m:r>
      </m:oMath>
      <w:r>
        <w:t xml:space="preserve"> </w:t>
      </w:r>
      <w:r>
        <w:t xml:space="preserve">related to</w:t>
      </w:r>
      <w:r>
        <w:t xml:space="preserve"> </w:t>
      </w:r>
      <m:oMath>
        <m:sSub>
          <m:e>
            <m:r>
              <m:t>y</m:t>
            </m:r>
          </m:e>
          <m:sub>
            <m:r>
              <m:t>i</m:t>
            </m:r>
          </m:sub>
        </m:sSub>
      </m:oMath>
      <w:r>
        <w:t xml:space="preserve"> </w:t>
      </w:r>
      <w:r>
        <w:t xml:space="preserve">by the</w:t>
      </w:r>
      <w:r>
        <w:t xml:space="preserve"> </w:t>
      </w:r>
      <m:oMath>
        <m:sSub>
          <m:e>
            <m:r>
              <m:t>β</m:t>
            </m:r>
          </m:e>
          <m:sub>
            <m:r>
              <m:t>1</m:t>
            </m:r>
          </m:sub>
        </m:sSub>
      </m:oMath>
      <w:r>
        <w:t xml:space="preserve"> </w:t>
      </w:r>
      <w:r>
        <w:t xml:space="preserve">slope parameter.</w:t>
      </w:r>
    </w:p>
    <w:p>
      <w:pPr>
        <w:pStyle w:val="BodyText"/>
      </w:pPr>
      <w:r>
        <w:t xml:space="preserve">This model is mathematically equivalent to model S (Table</w:t>
      </w:r>
      <w:r>
        <w:t xml:space="preserve"> </w:t>
      </w:r>
      <w:r>
        <w:t xml:space="preserve">3</w:t>
      </w:r>
      <w:r>
        <w:t xml:space="preserve">). The</w:t>
      </w:r>
      <w:r>
        <w:t xml:space="preserve"> </w:t>
      </w:r>
      <m:oMath>
        <m:sSub>
          <m:e>
            <m:r>
              <m:t>f</m:t>
            </m:r>
          </m:e>
          <m:sub>
            <m:r>
              <m:t>1</m:t>
            </m:r>
          </m:sub>
        </m:sSub>
        <m:r>
          <m:rPr>
            <m:sty m:val="p"/>
          </m:rPr>
          <m:t>(</m:t>
        </m:r>
        <m:r>
          <m:rPr>
            <m:sty m:val="p"/>
          </m:rPr>
          <m:t>)</m:t>
        </m:r>
      </m:oMath>
      <w:r>
        <w:t xml:space="preserve"> </w:t>
      </w:r>
      <w:r>
        <w:t xml:space="preserve">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m:oMathPara>
        <m:oMathParaPr>
          <m:jc m:val="center"/>
        </m:oMathParaPr>
        <m:oMath>
          <m:r>
            <m:rPr>
              <m:nor/>
              <m:sty m:val="p"/>
            </m:rPr>
            <m:t>Model SYD:</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ϵ</m:t>
                  </m:r>
                </m:e>
                <m:sub>
                  <m:r>
                    <m:t>i</m:t>
                  </m:r>
                </m:sub>
              </m:sSub>
              <m:r>
                <m:t>  </m:t>
              </m:r>
              <m:r>
                <m:rPr>
                  <m:sty m:val="p"/>
                </m:rPr>
                <m:t>(</m:t>
              </m:r>
              <m:r>
                <m:t>3</m:t>
              </m:r>
              <m:r>
                <m:rPr>
                  <m:sty m:val="p"/>
                </m:rPr>
                <m:t>)</m:t>
              </m:r>
            </m:e>
          </m:d>
        </m:oMath>
      </m:oMathPara>
    </w:p>
    <w:p>
      <w:pPr>
        <w:pStyle w:val="FirstParagraph"/>
      </w:pPr>
      <w:r>
        <w:t xml:space="preserve">where equation (3) is the same as equation (2) with the addition of a smoothing spline for</w:t>
      </w:r>
      <w:r>
        <w:t xml:space="preserve"> </w:t>
      </w:r>
      <w:r>
        <w:t xml:space="preserve">“</w:t>
      </w:r>
      <w:r>
        <w:t xml:space="preserve">day-of-year</w:t>
      </w:r>
      <w:r>
        <w:t xml:space="preserve">”</w:t>
      </w:r>
      <w:r>
        <w:t xml:space="preserve"> </w:t>
      </w:r>
      <w:r>
        <w:t xml:space="preserve">(</w:t>
      </w:r>
      <m:oMath>
        <m:r>
          <m:t>d</m:t>
        </m:r>
        <m:r>
          <m:t>o</m:t>
        </m:r>
        <m:r>
          <m:t>y</m:t>
        </m:r>
      </m:oMath>
      <w:r>
        <w:t xml:space="preserve">, i.e., Julian date, a count starting January 1 for each year). The</w:t>
      </w:r>
      <w:r>
        <w:t xml:space="preserve"> </w:t>
      </w:r>
      <m:oMath>
        <m:sSub>
          <m:e>
            <m:r>
              <m:t>f</m:t>
            </m:r>
          </m:e>
          <m:sub>
            <m:r>
              <m:t>2</m:t>
            </m:r>
          </m:sub>
        </m:sSub>
        <m:r>
          <m:rPr>
            <m:sty m:val="p"/>
          </m:rPr>
          <m:t>(</m:t>
        </m:r>
        <m:r>
          <m:rPr>
            <m:sty m:val="p"/>
          </m:rPr>
          <m:t>)</m:t>
        </m:r>
      </m:oMath>
      <w:r>
        <w:t xml:space="preserve"> </w:t>
      </w:r>
      <w:r>
        <w:t xml:space="preserve">spline is cyclic (using</w:t>
      </w:r>
      <w:r>
        <w:t xml:space="preserve"> </w:t>
      </w:r>
      <w:r>
        <w:rPr>
          <w:rStyle w:val="VerbatimChar"/>
        </w:rPr>
        <w:t xml:space="preserve">bs = 'cc'</w:t>
      </w:r>
      <w:r>
        <w:t xml:space="preserve"> </w:t>
      </w:r>
      <w:r>
        <w:t xml:space="preserve">in</w:t>
      </w:r>
      <w:r>
        <w:t xml:space="preserve"> </w:t>
      </w:r>
      <w:r>
        <w:rPr>
          <w:rStyle w:val="VerbatimChar"/>
        </w:rPr>
        <w:t xml:space="preserve">mgcv</w:t>
      </w:r>
      <w:r>
        <w:t xml:space="preserve">) to constrain the start and end at the same value. A user-specified number of knots is also included in</w:t>
      </w:r>
      <w:r>
        <w:t xml:space="preserve"> </w:t>
      </w:r>
      <m:oMath>
        <m:sSub>
          <m:e>
            <m:r>
              <m:t>f</m:t>
            </m:r>
          </m:e>
          <m:sub>
            <m:r>
              <m:t>2</m:t>
            </m:r>
          </m:sub>
        </m:sSub>
        <m:r>
          <m:rPr>
            <m:sty m:val="p"/>
          </m:rPr>
          <m:t>(</m:t>
        </m:r>
        <m:r>
          <m:rPr>
            <m:sty m:val="p"/>
          </m:rPr>
          <m:t>)</m:t>
        </m:r>
      </m:oMath>
      <w:r>
        <w:t xml:space="preserv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t>
      </w:r>
      <w:hyperlink w:anchor="ref-Wood17">
        <w:r>
          <w:rPr>
            <w:rStyle w:val="Hyperlink"/>
          </w:rPr>
          <w:t xml:space="preserve">Wood, 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m:oMathPara>
        <m:oMathParaPr>
          <m:jc m:val="center"/>
        </m:oMathParaPr>
        <m:oMath>
          <m:r>
            <m:rPr>
              <m:nor/>
              <m:sty m:val="p"/>
            </m:rPr>
            <m:t>Model SYDI:</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f</m:t>
                  </m:r>
                </m:e>
                <m:sub>
                  <m:r>
                    <m:t>3</m:t>
                  </m:r>
                </m:sub>
              </m:sSub>
              <m:d>
                <m:dPr>
                  <m:begChr m:val="("/>
                  <m:endChr m:val=")"/>
                  <m:grow/>
                </m:dPr>
                <m:e>
                  <m:r>
                    <m:t>c</m:t>
                  </m:r>
                  <m:r>
                    <m:t>o</m:t>
                  </m:r>
                  <m:r>
                    <m:t>n</m:t>
                  </m:r>
                  <m:r>
                    <m:t>t</m:t>
                  </m:r>
                  <m:r>
                    <m:rPr>
                      <m:sty m:val="p"/>
                    </m:rPr>
                    <m:t>_</m:t>
                  </m:r>
                  <m:r>
                    <m:t>y</m:t>
                  </m:r>
                  <m:r>
                    <m:t>e</m:t>
                  </m:r>
                  <m:r>
                    <m:t>a</m:t>
                  </m:r>
                  <m:sSub>
                    <m:e>
                      <m:r>
                        <m:t>r</m:t>
                      </m:r>
                    </m:e>
                    <m:sub>
                      <m:r>
                        <m:t>i</m:t>
                      </m:r>
                    </m:sub>
                  </m:sSub>
                  <m:r>
                    <m:rPr>
                      <m:sty m:val="p"/>
                    </m:rPr>
                    <m:t>,</m:t>
                  </m:r>
                  <m:r>
                    <m:t>d</m:t>
                  </m:r>
                  <m:r>
                    <m:t>o</m:t>
                  </m:r>
                  <m:sSub>
                    <m:e>
                      <m:r>
                        <m:t>y</m:t>
                      </m:r>
                    </m:e>
                    <m:sub>
                      <m:r>
                        <m:t>i</m:t>
                      </m:r>
                    </m:sub>
                  </m:sSub>
                </m:e>
              </m:d>
              <m:r>
                <m:rPr>
                  <m:sty m:val="p"/>
                </m:rPr>
                <m:t>+</m:t>
              </m:r>
              <m:sSub>
                <m:e>
                  <m:r>
                    <m:t>ϵ</m:t>
                  </m:r>
                </m:e>
                <m:sub>
                  <m:r>
                    <m:t>i</m:t>
                  </m:r>
                </m:sub>
              </m:sSub>
              <m:r>
                <m:t>  </m:t>
              </m:r>
              <m:r>
                <m:rPr>
                  <m:sty m:val="p"/>
                </m:rPr>
                <m:t>(</m:t>
              </m:r>
              <m:r>
                <m:t>4</m:t>
              </m:r>
              <m:r>
                <m:rPr>
                  <m:sty m:val="p"/>
                </m:rPr>
                <m:t>)</m:t>
              </m:r>
            </m:e>
          </m:d>
        </m:oMath>
      </m:oMathPara>
    </w:p>
    <w:p>
      <w:pPr>
        <w:pStyle w:val="FirstParagraph"/>
      </w:pPr>
      <w:r>
        <w:t xml:space="preserve">where equation (4) is the same as equation (3) with the addition of a tensor-product smoothing spline (</w:t>
      </w:r>
      <w:r>
        <w:rPr>
          <w:rStyle w:val="VerbatimChar"/>
        </w:rPr>
        <w:t xml:space="preserve">ti()</w:t>
      </w:r>
      <w:r>
        <w:t xml:space="preserve"> </w:t>
      </w:r>
      <w:r>
        <w:t xml:space="preserve">in</w:t>
      </w:r>
      <w:r>
        <w:t xml:space="preserve"> </w:t>
      </w:r>
      <w:r>
        <w:rPr>
          <w:rStyle w:val="VerbatimChar"/>
        </w:rPr>
        <w:t xml:space="preserve">mgcv</w:t>
      </w:r>
      <w:r>
        <w:t xml:space="preserve">) that varies smoothly as a function of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w:t>
      </w:r>
      <w:r>
        <w:t xml:space="preserve">include their own number of knots, such that the total number of knots for the spline is the product of the two. The need for sufficient knots in SYDI can be satisfied either by sufficiently large values for</w:t>
      </w:r>
      <w:r>
        <w:t xml:space="preserve"> </w:t>
      </w:r>
      <m:oMath>
        <m:sSub>
          <m:e>
            <m:r>
              <m:t>f</m:t>
            </m:r>
          </m:e>
          <m:sub>
            <m:r>
              <m:t>3</m:t>
            </m:r>
          </m:sub>
        </m:sSub>
        <m:r>
          <m:rPr>
            <m:sty m:val="p"/>
          </m:rPr>
          <m:t>(</m:t>
        </m:r>
        <m:r>
          <m:rPr>
            <m:sty m:val="p"/>
          </m:rPr>
          <m:t>)</m:t>
        </m:r>
      </m:oMath>
      <w:r>
        <w:t xml:space="preserve"> </w:t>
      </w:r>
      <w:r>
        <w:t xml:space="preserve">or a sufficiently large value for knots in</w:t>
      </w:r>
      <w:r>
        <w:t xml:space="preserve"> </w:t>
      </w:r>
      <m:oMath>
        <m:sSub>
          <m:e>
            <m:r>
              <m:t>f</m:t>
            </m:r>
          </m:e>
          <m:sub>
            <m:r>
              <m:t>1</m:t>
            </m:r>
          </m:sub>
        </m:sSub>
        <m:r>
          <m:rPr>
            <m:sty m:val="p"/>
          </m:rPr>
          <m:t>(</m:t>
        </m:r>
        <m:r>
          <m:rPr>
            <m:sty m:val="p"/>
          </m:rPr>
          <m:t>)</m:t>
        </m:r>
      </m:oMath>
      <w:r>
        <w:t xml:space="preserve"> </w:t>
      </w:r>
      <w:r>
        <w:t xml:space="preserve">and</w:t>
      </w:r>
      <w:r>
        <w:t xml:space="preserve"> </w:t>
      </w:r>
      <m:oMath>
        <m:sSub>
          <m:e>
            <m:r>
              <m:t>f</m:t>
            </m:r>
          </m:e>
          <m:sub>
            <m:r>
              <m:t>2</m:t>
            </m:r>
          </m:sub>
        </m:sSub>
        <m:r>
          <m:rPr>
            <m:sty m:val="p"/>
          </m:rPr>
          <m:t>(</m:t>
        </m:r>
        <m:r>
          <m:rPr>
            <m:sty m:val="p"/>
          </m:rPr>
          <m:t>)</m:t>
        </m:r>
      </m:oMath>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 tensor-product spline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Cs/>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 a cyclic spline for</w:t>
      </w:r>
      <w:r>
        <w:t xml:space="preserve"> </w:t>
      </w:r>
      <w:r>
        <w:rPr>
          <w:rStyle w:val="VerbatimChar"/>
        </w:rPr>
        <w:t xml:space="preserve">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for the</w:t>
      </w:r>
      <w:r>
        <w:t xml:space="preserve"> </w:t>
      </w:r>
      <w:r>
        <w:rPr>
          <w:rStyle w:val="VerbatimChar"/>
        </w:rPr>
        <w:t xml:space="preserve">cont_year</w:t>
      </w:r>
      <w:r>
        <w:t xml:space="preserve"> </w:t>
      </w:r>
      <w:r>
        <w:t xml:space="preserve">spline (</w:t>
      </w:r>
      <m:oMath>
        <m:sSub>
          <m:e>
            <m:r>
              <m:t>f</m:t>
            </m:r>
          </m:e>
          <m:sub>
            <m:r>
              <m:t>1</m:t>
            </m:r>
          </m:sub>
        </m:sSub>
        <m:r>
          <m:rPr>
            <m:sty m:val="p"/>
          </m:rPr>
          <m:t>(</m:t>
        </m:r>
        <m:r>
          <m:rPr>
            <m:sty m:val="p"/>
          </m:rPr>
          <m:t>)</m:t>
        </m:r>
      </m:oMath>
      <w:r>
        <w:t xml:space="preserve">) of 2/3 times the number of years and do not explicitly consider the number of knots in the interaction spline, following an</w:t>
      </w:r>
      <w:r>
        <w:t xml:space="preserve"> </w:t>
      </w:r>
      <w:r>
        <w:rPr>
          <w:iCs/>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m:oMath>
        <m:sSub>
          <m:e>
            <m:r>
              <m:t>f</m:t>
            </m:r>
          </m:e>
          <m:sub>
            <m:r>
              <m:t>1</m:t>
            </m:r>
          </m:sub>
        </m:sSub>
        <m:r>
          <m:rPr>
            <m:sty m:val="p"/>
          </m:rPr>
          <m:t>(</m:t>
        </m:r>
        <m:r>
          <m:rPr>
            <m:sty m:val="p"/>
          </m:rPr>
          <m:t>)</m:t>
        </m:r>
      </m:oMath>
      <w:r>
        <w:t xml:space="preserve"> </w:t>
      </w:r>
      <w:r>
        <w:t xml:space="preserve">term. Finally,</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a sufficiently high number of knots for the respective splines 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m:oMath>
        <m:sSub>
          <m:e>
            <m:r>
              <m:t>f</m:t>
            </m:r>
          </m:e>
          <m:sub>
            <m:r>
              <m:t>1</m:t>
            </m:r>
          </m:sub>
        </m:sSub>
        <m:r>
          <m:rPr>
            <m:sty m:val="p"/>
          </m:rPr>
          <m:t>(</m:t>
        </m:r>
        <m:r>
          <m:rPr>
            <m:sty m:val="p"/>
          </m:rPr>
          <m:t>)</m:t>
        </m:r>
      </m:oMath>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m:oMath>
        <m:sSub>
          <m:e>
            <m:r>
              <m:t>f</m:t>
            </m:r>
          </m:e>
          <m:sub>
            <m:r>
              <m:t>1</m:t>
            </m:r>
          </m:sub>
        </m:sSub>
        <m:r>
          <m:rPr>
            <m:sty m:val="p"/>
          </m:rPr>
          <m:t>(</m:t>
        </m:r>
        <m:r>
          <m:rPr>
            <m:sty m:val="p"/>
          </m:rPr>
          <m:t>)</m:t>
        </m:r>
      </m:oMath>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bookmarkEnd w:id="32"/>
    <w:bookmarkStart w:id="33" w:name="X79341b4d8d7ec317f2877c2fc7a73487dbf3a2a"/>
    <w:p>
      <w:pPr>
        <w:pStyle w:val="Heading3"/>
      </w:pPr>
      <w:r>
        <w:t xml:space="preserve">Second-stage analysis: Seasonal features with uncertainties</w:t>
      </w:r>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rPr>
                <m:sty m:val="p"/>
              </m:rP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rPr>
            <m:sty m:val="p"/>
          </m:rP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rPr>
            <m:sty m:val="p"/>
          </m:rP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rPr>
            <m:sty m:val="p"/>
          </m:rP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rPr>
            <m:sty m:val="p"/>
          </m:rP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rPr>
            <m:sty m:val="p"/>
          </m:rP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bookmarkEnd w:id="33"/>
    <w:bookmarkStart w:id="34" w:name="Xbb2bf851335ed0e6d3f492840f782620d429aef"/>
    <w:p>
      <w:pPr>
        <w:pStyle w:val="Heading3"/>
      </w:pPr>
      <w:r>
        <w:t xml:space="preserve">Third-stage analysis: Trend analysis of seasonal features with uncertainties</w:t>
      </w:r>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rPr>
                <m:sty m:val="p"/>
              </m:rP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rPr>
            <m:sty m:val="p"/>
          </m:rPr>
          <m:t>=</m:t>
        </m:r>
        <m:r>
          <m:t>1</m:t>
        </m:r>
        <m:r>
          <m:rPr>
            <m:sty m:val="p"/>
          </m:rPr>
          <m:t>,</m:t>
        </m:r>
        <m:r>
          <m:rPr>
            <m:sty m:val="p"/>
          </m:rPr>
          <m:t>…</m:t>
        </m:r>
        <m:r>
          <m:rPr>
            <m:sty m:val="p"/>
          </m:rPr>
          <m:t>,</m:t>
        </m:r>
        <m:r>
          <m:t>N</m:t>
        </m:r>
      </m:oMath>
      <w:r>
        <w:t xml:space="preserve">, with their associated standard errors,</w:t>
      </w:r>
      <w:r>
        <w:t xml:space="preserve"> </w:t>
      </w:r>
      <m:oMath>
        <m:sSub>
          <m:e>
            <m:acc>
              <m:accPr>
                <m:chr m:val="̂"/>
              </m:accPr>
              <m:e>
                <m:r>
                  <m:t>σ</m:t>
                </m:r>
              </m:e>
            </m:acc>
          </m:e>
          <m:sub>
            <m:acc>
              <m:accPr>
                <m:chr m:val="̂"/>
              </m:accPr>
              <m:e>
                <m:r>
                  <m:t>μ</m:t>
                </m:r>
              </m:e>
            </m:acc>
            <m:r>
              <m:rPr>
                <m:sty m:val="p"/>
              </m:rP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rPr>
                <m:sty m:val="p"/>
              </m:rP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hyperlink w:anchor="ref-Sera19">
        <w:r>
          <w:rPr>
            <w:rStyle w:val="Hyperlink"/>
          </w:rPr>
          <w:t xml:space="preserve">Sera et al.</w:t>
        </w:r>
      </w:hyperlink>
      <w:r>
        <w:t xml:space="preserve"> </w:t>
      </w:r>
      <w:r>
        <w:t xml:space="preserve">(</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r>
            <m:rPr>
              <m:sty m:val="p"/>
            </m:rPr>
            <m:t>+</m:t>
          </m:r>
          <m:sSub>
            <m:e>
              <m:r>
                <m:t>ϵ</m:t>
              </m:r>
            </m:e>
            <m:sub>
              <m:r>
                <m:t>t</m:t>
              </m:r>
            </m:sub>
          </m:sSub>
          <m:r>
            <m:t>  </m:t>
          </m:r>
          <m:r>
            <m:rPr>
              <m:sty m:val="p"/>
            </m:rPr>
            <m:t>(</m:t>
          </m:r>
          <m:r>
            <m:t>5</m:t>
          </m:r>
          <m:r>
            <m:rPr>
              <m:sty m:val="p"/>
            </m:rP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oMath>
      <w:r>
        <w:t xml:space="preserve">. The</w:t>
      </w:r>
      <w:r>
        <w:t xml:space="preserve"> </w:t>
      </w:r>
      <w:r>
        <w:t xml:space="preserve">“</w:t>
      </w:r>
      <w:r>
        <w:t xml:space="preserve">residual,</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rPr>
            <m:sty m:val="p"/>
          </m:rP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rPr>
                <m:sty m:val="p"/>
              </m:rP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rPr>
            <m:sty m:val="p"/>
          </m:rP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(5)) using the</w:t>
      </w:r>
      <w:r>
        <w:t xml:space="preserve"> </w:t>
      </w:r>
      <w:r>
        <w:rPr>
          <w:iCs/>
          <w:i/>
        </w:rPr>
        <w:t xml:space="preserve">mixmeta</w:t>
      </w:r>
      <w:r>
        <w:t xml:space="preserve"> </w:t>
      </w:r>
      <w:r>
        <w:t xml:space="preserve">package in R</w:t>
      </w:r>
      <w:r>
        <w:t xml:space="preserve"> </w:t>
      </w:r>
      <w:r>
        <w:t xml:space="preserve">(</w:t>
      </w:r>
      <w:hyperlink w:anchor="ref-Sera19">
        <w:r>
          <w:rPr>
            <w:rStyle w:val="Hyperlink"/>
          </w:rPr>
          <w:t xml:space="preserve">Sera et al., 2019</w:t>
        </w:r>
      </w:hyperlink>
      <w:r>
        <w:t xml:space="preserve">)</w:t>
      </w:r>
      <w:r>
        <w:t xml:space="preserve">. Results from</w:t>
      </w:r>
      <w:r>
        <w:t xml:space="preserve"> </w:t>
      </w:r>
      <w:r>
        <w:rPr>
          <w:iCs/>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Cs/>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bookmarkEnd w:id="34"/>
    <w:bookmarkStart w:id="35" w:name="trend-comparisons"/>
    <w:p>
      <w:pPr>
        <w:pStyle w:val="Heading3"/>
      </w:pPr>
      <w:r>
        <w:t xml:space="preserve">Trend comparisons</w:t>
      </w:r>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w:t>
      </w:r>
      <w:hyperlink w:anchor="ref-Cloern20">
        <w:r>
          <w:rPr>
            <w:rStyle w:val="Hyperlink"/>
          </w:rPr>
          <w:t xml:space="preserve">Cloern et al., 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bookmarkEnd w:id="35"/>
    <w:bookmarkEnd w:id="36"/>
    <w:bookmarkEnd w:id="37"/>
    <w:bookmarkStart w:id="41" w:name="results"/>
    <w:p>
      <w:pPr>
        <w:pStyle w:val="Heading1"/>
      </w:pPr>
      <w:r>
        <w:t xml:space="preserve">Results</w:t>
      </w:r>
    </w:p>
    <w:bookmarkStart w:id="38" w:name="model-performance-and-predictions"/>
    <w:p>
      <w:pPr>
        <w:pStyle w:val="Heading2"/>
      </w:pPr>
      <w:r>
        <w:t xml:space="preserve">Model performance and predictions</w:t>
      </w:r>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bookmarkEnd w:id="38"/>
    <w:bookmarkStart w:id="39" w:name="inter-annual-trend-estimates"/>
    <w:p>
      <w:pPr>
        <w:pStyle w:val="Heading2"/>
      </w:pPr>
      <w:r>
        <w:t xml:space="preserve">Inter-annual trend estimates</w:t>
      </w:r>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rPr>
                <m:sty m:val="p"/>
              </m:rPr>
              <m:t>−</m:t>
            </m:r>
            <m:r>
              <m:t>1</m:t>
            </m:r>
          </m:sup>
        </m:sSup>
      </m:oMath>
      <w:r>
        <w:t xml:space="preserve"> </w:t>
      </w:r>
      <w:r>
        <w:t xml:space="preserve">yr</w:t>
      </w:r>
      <m:oMath>
        <m:sSup>
          <m:e>
            <m:r>
              <m:t>​</m:t>
            </m:r>
          </m:e>
          <m:sup>
            <m:r>
              <m:rPr>
                <m:sty m:val="p"/>
              </m:rPr>
              <m:t>−</m:t>
            </m:r>
            <m:r>
              <m:t>1</m:t>
            </m:r>
          </m:sup>
        </m:sSup>
      </m:oMath>
      <w:r>
        <w:t xml:space="preserve">, 0.01-0.05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rPr>
            <m:sty m:val="p"/>
          </m:rPr>
          <m:t>&lt;</m:t>
        </m:r>
        <m:r>
          <m:t>0.05</m:t>
        </m:r>
      </m:oMath>
      <w:r>
        <w:t xml:space="preserve">) for the January to June period were observed at stations 32 and 34 from 1991 to 2000; decreases were observed at stations 30 and 32 from 2010 to 2019. For the July to December period, increases were observed at stations 24, 27, 30, and 32 from 1991 to 2000 and stations 18, 21, 22, 24,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that were more often observed in the July to December period. Additionally, chl-a at the more northern stations has not changed in recent years for both seasonal periods. For most stations and seasonal periods, a change from increasing to decreasing chl-a occurred around 2007.</w:t>
      </w:r>
    </w:p>
    <w:bookmarkEnd w:id="39"/>
    <w:bookmarkStart w:id="40" w:name="importance-of-uncertainty-propagation"/>
    <w:p>
      <w:pPr>
        <w:pStyle w:val="Heading2"/>
      </w:pPr>
      <w:r>
        <w:t xml:space="preserve">Importance of uncertainty propagation</w:t>
      </w:r>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30 for January to June averages from 2000 to 2010. Only the meta-analysis regression results show a trend in this example (based on</w:t>
      </w:r>
      <w:r>
        <w:t xml:space="preserve"> </w:t>
      </w:r>
      <m:oMath>
        <m:r>
          <m:t>p</m:t>
        </m:r>
        <m:r>
          <m:rPr>
            <m:sty m:val="p"/>
          </m:rP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station 34 for July to December averages from 1991 to 2000. Unlike the first example, only the middle figure shows a trend, whereas the top and bottom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bookmarkEnd w:id="40"/>
    <w:bookmarkEnd w:id="41"/>
    <w:bookmarkStart w:id="43" w:name="discussion"/>
    <w:p>
      <w:pPr>
        <w:pStyle w:val="Heading1"/>
      </w:pPr>
      <w:r>
        <w:t xml:space="preserve">Discussion</w:t>
      </w:r>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w:t>
      </w:r>
      <w:hyperlink w:anchor="ref-Junninen04">
        <w:r>
          <w:rPr>
            <w:rStyle w:val="Hyperlink"/>
          </w:rPr>
          <w:t xml:space="preserve">Junninen et al., 2004</w:t>
        </w:r>
      </w:hyperlink>
      <w:r>
        <w:t xml:space="preserve">;</w:t>
      </w:r>
      <w:r>
        <w:t xml:space="preserve"> </w:t>
      </w:r>
      <w:hyperlink w:anchor="ref-Racault14">
        <w:r>
          <w:rPr>
            <w:rStyle w:val="Hyperlink"/>
          </w:rPr>
          <w:t xml:space="preserve">Racault et al., 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w:t>
      </w:r>
      <w:hyperlink w:anchor="ref-Smith01">
        <w:r>
          <w:rPr>
            <w:rStyle w:val="Hyperlink"/>
          </w:rPr>
          <w:t xml:space="preserve">Smith et al., 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w:t>
      </w:r>
      <w:hyperlink w:anchor="ref-Shabman03">
        <w:r>
          <w:rPr>
            <w:rStyle w:val="Hyperlink"/>
          </w:rPr>
          <w:t xml:space="preserve">Shabman and Smith, 2003</w:t>
        </w:r>
      </w:hyperlink>
      <w:r>
        <w:t xml:space="preserve">)</w:t>
      </w:r>
      <w:r>
        <w:t xml:space="preserve">. Moreover, use of methods that fully account for uncertainty in sampling design is recommended over more conventional analyses given the certainty of conclusions in the former. Our examples demonstrated the increased potential for incorrect conclusions at specific monitoring locations and at much larger spatial scales across all stations if simpler trend analyses are used. Even though simpler methods may produce the same result, particularly with frequent sampling and similar effort between years, decision-makers require certainty of conclusions when incorrect results can have major consequences for environmental management.</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t>
      </w:r>
      <w:hyperlink w:anchor="ref-Wood17">
        <w:r>
          <w:rPr>
            <w:rStyle w:val="Hyperlink"/>
          </w:rPr>
          <w:t xml:space="preserve">Wood, 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w:t>
      </w:r>
      <w:hyperlink w:anchor="ref-Hirsch10">
        <w:r>
          <w:rPr>
            <w:rStyle w:val="Hyperlink"/>
          </w:rPr>
          <w:t xml:space="preserve">Hirsch et al., 2010</w:t>
        </w:r>
      </w:hyperlink>
      <w:r>
        <w:t xml:space="preserve">;</w:t>
      </w:r>
      <w:r>
        <w:t xml:space="preserve"> </w:t>
      </w:r>
      <w:hyperlink w:anchor="ref-Wan17">
        <w:r>
          <w:rPr>
            <w:rStyle w:val="Hyperlink"/>
          </w:rPr>
          <w:t xml:space="preserve">Wan et al., 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bookmarkStart w:id="42" w:name="future-work"/>
    <w:p>
      <w:pPr>
        <w:pStyle w:val="Heading2"/>
      </w:pPr>
      <w:r>
        <w:t xml:space="preserve">Future work</w:t>
      </w:r>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Cs/>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t>
      </w:r>
      <w:hyperlink w:anchor="ref-Wood02">
        <w:r>
          <w:rPr>
            <w:rStyle w:val="Hyperlink"/>
          </w:rPr>
          <w:t xml:space="preserve">Wood and Augustin, 2002</w:t>
        </w:r>
      </w:hyperlink>
      <w:r>
        <w:t xml:space="preserve">;</w:t>
      </w:r>
      <w:r>
        <w:t xml:space="preserve"> </w:t>
      </w:r>
      <w:hyperlink w:anchor="ref-Zuur09">
        <w:r>
          <w:rPr>
            <w:rStyle w:val="Hyperlink"/>
          </w:rPr>
          <w:t xml:space="preserve">Zuur et al., 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w:t>
      </w:r>
      <w:hyperlink w:anchor="ref-Cloern07">
        <w:r>
          <w:rPr>
            <w:rStyle w:val="Hyperlink"/>
          </w:rPr>
          <w:t xml:space="preserve">Cloern et al., 2007</w:t>
        </w:r>
      </w:hyperlink>
      <w:r>
        <w:t xml:space="preserve">;</w:t>
      </w:r>
      <w:r>
        <w:t xml:space="preserve"> </w:t>
      </w:r>
      <w:hyperlink w:anchor="ref-Jassby02">
        <w:r>
          <w:rPr>
            <w:rStyle w:val="Hyperlink"/>
          </w:rPr>
          <w:t xml:space="preserve">Jassby et al., 2002</w:t>
        </w:r>
      </w:hyperlink>
      <w:r>
        <w:t xml:space="preserve">)</w:t>
      </w:r>
      <w:r>
        <w:t xml:space="preserve">. The open-source wqtrends R package</w:t>
      </w:r>
      <w:r>
        <w:t xml:space="preserve"> </w:t>
      </w:r>
      <w:r>
        <w:t xml:space="preserve">(</w:t>
      </w:r>
      <w:hyperlink w:anchor="ref-Beck21">
        <w:r>
          <w:rPr>
            <w:rStyle w:val="Hyperlink"/>
          </w:rPr>
          <w:t xml:space="preserve">Beck et al., 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bookmarkEnd w:id="42"/>
    <w:bookmarkEnd w:id="43"/>
    <w:bookmarkStart w:id="44" w:name="acknowledgments"/>
    <w:p>
      <w:pPr>
        <w:pStyle w:val="Heading1"/>
      </w:pPr>
      <w:r>
        <w:t xml:space="preserve">Acknowledgments</w:t>
      </w:r>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bookmarkEnd w:id="44"/>
    <w:bookmarkStart w:id="53" w:name="figures"/>
    <w:p>
      <w:pPr>
        <w:pStyle w:val="Heading1"/>
      </w:pPr>
      <w:r>
        <w:t xml:space="preserve">Figures</w:t>
      </w:r>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hyperlink w:anchor="ref-Schraga20">
        <w:r>
          <w:rPr>
            <w:rStyle w:val="Hyperlink"/>
          </w:rPr>
          <w:t xml:space="preserve">Schraga et al.</w:t>
        </w:r>
      </w:hyperlink>
      <w:r>
        <w:t xml:space="preserve"> </w:t>
      </w:r>
      <w:r>
        <w:t xml:space="preserve">(</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rPr>
            <m:sty m:val="p"/>
          </m:rP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bookmarkEnd w:id="53"/>
    <w:bookmarkStart w:id="54" w:name="tables"/>
    <w:p>
      <w:pPr>
        <w:pStyle w:val="Heading1"/>
      </w:pPr>
      <w:r>
        <w:t xml:space="preserve">Tables</w:t>
      </w:r>
    </w:p>
    <w:p>
      <w:pPr>
        <w:pStyle w:val="TableCaption"/>
      </w:pPr>
      <w:r>
        <w:t xml:space="preserve">Table 1: Station locations, sample sizes (from 1991 to 2019), and summary values (median, minimum, maximum) for chl-a (</w:t>
      </w:r>
      <m:oMath>
        <m:r>
          <m:t>μ</m:t>
        </m:r>
      </m:oMath>
      <w:r>
        <w:t xml:space="preserve">g L</w:t>
      </w:r>
      <m:oMath>
        <m:sSup>
          <m:e>
            <m:r>
              <m:t>​</m:t>
            </m:r>
          </m:e>
          <m:sup>
            <m:r>
              <m:rPr>
                <m:sty m:val="p"/>
              </m:rPr>
              <m:t>−</m:t>
            </m:r>
            <m:r>
              <m:t>1</m:t>
            </m:r>
          </m:sup>
        </m:sSup>
      </m:oMath>
      <w:r>
        <w:t xml:space="preserve">). Stations are arranged from north to south.</w:t>
      </w:r>
    </w:p>
    <w:tbl>
      <w:tblPr>
        <w:tblStyle w:val="Table"/>
        <w:tblW w:type="pct" w:w="0.0"/>
        <w:tblLook w:firstRow="1" w:lastRow="0" w:firstColumn="0" w:lastColumn="0" w:noHBand="0" w:noVBand="0" w:val="0020"/>
        <w:tblCaption w:val="Table 1: Station locations, sample sizes (from 1991 to 2019), and summary values (median, minimum, maximum) for chl-a (\mug L^{-1}). Stations are arranged from north to south."/>
      </w:tblPr>
      <w:tblGrid/>
      <w:tr>
        <w:tc>
          <w:p>
            <w:pPr>
              <w:pStyle w:val="Compact"/>
              <w:jc w:val="right"/>
            </w:pPr>
            <w:r>
              <w:t xml:space="preserve">Station</w:t>
            </w:r>
          </w:p>
        </w:tc>
        <w:tc>
          <w:p>
            <w:pPr>
              <w:pStyle w:val="Compact"/>
              <w:jc w:val="right"/>
            </w:pPr>
            <w:r>
              <w:t xml:space="preserve">Latitude</w:t>
            </w:r>
          </w:p>
        </w:tc>
        <w:tc>
          <w:p>
            <w:pPr>
              <w:pStyle w:val="Compact"/>
              <w:jc w:val="right"/>
            </w:pPr>
            <w:r>
              <w:t xml:space="preserve">Longitude</w:t>
            </w:r>
          </w:p>
        </w:tc>
        <w:tc>
          <w:p>
            <w:pPr>
              <w:pStyle w:val="Compact"/>
              <w:jc w:val="right"/>
            </w:pPr>
            <w:r>
              <w:t xml:space="preserve">n</w:t>
            </w:r>
          </w:p>
        </w:tc>
        <w:tc>
          <w:p>
            <w:pPr>
              <w:pStyle w:val="Compact"/>
              <w:jc w:val="right"/>
            </w:pPr>
            <w:r>
              <w:t xml:space="preserve">Med.</w:t>
            </w:r>
          </w:p>
        </w:tc>
        <w:tc>
          <w:p>
            <w:pPr>
              <w:pStyle w:val="Compact"/>
              <w:jc w:val="right"/>
            </w:pPr>
            <w:r>
              <w:t xml:space="preserve">Min.</w:t>
            </w:r>
          </w:p>
        </w:tc>
        <w:tc>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lastRow="0" w:firstColumn="0" w:lastColumn="0" w:noHBand="0" w:noVBand="0" w:val="0020"/>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04"/>
        <w:gridCol w:w="1987"/>
        <w:gridCol w:w="5728"/>
      </w:tblGrid>
      <w:tr>
        <w:tc>
          <w:p>
            <w:pPr>
              <w:pStyle w:val="Compact"/>
              <w:jc w:val="left"/>
            </w:pPr>
            <w:r>
              <w:t xml:space="preserve">GAM</w:t>
            </w:r>
          </w:p>
        </w:tc>
        <w:tc>
          <w:p>
            <w:pPr>
              <w:pStyle w:val="Compact"/>
              <w:jc w:val="left"/>
            </w:pPr>
            <w:r>
              <w:t xml:space="preserve">Additive components</w:t>
            </w:r>
          </w:p>
        </w:tc>
        <w:tc>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f_1(cont_year)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eta_0cont_year + f_1(cont_year)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eta_0cont_year + f_1(cont_year) + f_2(doy)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eta_0cont_year + f_1(cont_year) + f_2(doy) + f_3(cont_year,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lastRow="0" w:firstColumn="0" w:lastColumn="0" w:noHBand="0" w:noVBand="0" w:val="0020"/>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c>
          <w:p>
            <w:pPr>
              <w:pStyle w:val="Compact"/>
              <w:jc w:val="left"/>
            </w:pPr>
            <w:r>
              <w:t xml:space="preserve">model</w:t>
            </w:r>
          </w:p>
        </w:tc>
        <w:tc>
          <w:p>
            <w:pPr>
              <w:pStyle w:val="Compact"/>
              <w:jc w:val="left"/>
            </w:pPr>
            <w:r>
              <w:t xml:space="preserve">AIC</w:t>
            </w:r>
          </w:p>
        </w:tc>
        <w:tc>
          <w:p>
            <w:pPr>
              <w:pStyle w:val="Compact"/>
              <w:jc w:val="left"/>
            </w:pPr>
            <w:r>
              <w:t xml:space="preserve">GCV</w:t>
            </w:r>
          </w:p>
        </w:tc>
        <w:tc>
          <w:p>
            <w:pPr>
              <w:pStyle w:val="Compact"/>
              <w:jc w:val="left"/>
            </w:pPr>
            <w:r>
              <w:t xml:space="preserve">R2</w:t>
            </w:r>
          </w:p>
        </w:tc>
        <w:tc>
          <w:p>
            <w:pPr>
              <w:pStyle w:val="Compact"/>
              <w:jc w:val="left"/>
            </w:pPr>
            <w:r>
              <w:t xml:space="preserve">smoother</w:t>
            </w:r>
          </w:p>
        </w:tc>
        <w:tc>
          <w:p>
            <w:pPr>
              <w:pStyle w:val="Compact"/>
              <w:jc w:val="right"/>
            </w:pPr>
            <w:r>
              <w:t xml:space="preserve">edf</w:t>
            </w:r>
          </w:p>
        </w:tc>
        <w:tc>
          <w:p>
            <w:pPr>
              <w:pStyle w:val="Compact"/>
              <w:jc w:val="right"/>
            </w:pPr>
            <w:r>
              <w:t xml:space="preserve">F</w:t>
            </w:r>
          </w:p>
        </w:tc>
        <w:tc>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lastRow="0" w:firstColumn="0" w:lastColumn="0" w:noHBand="0" w:noVBand="0" w:val="0020"/>
        <w:tblCaption w:val="Table 4: Model performance statistics for each station as Akaike Information Criterion scores (AIC), generalized cross-validation scores (GCV), and r-squared values."/>
      </w:tblPr>
      <w:tblGrid/>
      <w:tr>
        <w:tc>
          <w:p>
            <w:pPr>
              <w:pStyle w:val="Compact"/>
              <w:jc w:val="left"/>
            </w:pPr>
            <w:r>
              <w:t xml:space="preserve">station</w:t>
            </w:r>
          </w:p>
        </w:tc>
        <w:tc>
          <w:p>
            <w:pPr>
              <w:pStyle w:val="Compact"/>
              <w:jc w:val="right"/>
            </w:pPr>
            <w:r>
              <w:t xml:space="preserve">AIC</w:t>
            </w:r>
          </w:p>
        </w:tc>
        <w:tc>
          <w:p>
            <w:pPr>
              <w:pStyle w:val="Compact"/>
              <w:jc w:val="right"/>
            </w:pPr>
            <w:r>
              <w:t xml:space="preserve">GCV</w:t>
            </w:r>
          </w:p>
        </w:tc>
        <w:tc>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bookmarkEnd w:id="54"/>
    <w:bookmarkStart w:id="131" w:name="references"/>
    <w:p>
      <w:pPr>
        <w:pStyle w:val="Heading1"/>
      </w:pPr>
      <w:r>
        <w:t xml:space="preserve">References</w:t>
      </w:r>
    </w:p>
    <w:bookmarkStart w:id="130" w:name="refs"/>
    <w:bookmarkStart w:id="55" w:name="ref-Alpine88"/>
    <w:p>
      <w:pPr>
        <w:pStyle w:val="Bibliography"/>
      </w:pPr>
      <w:r>
        <w:t xml:space="preserve">Alpine, A.E., Cloern, J.E., 1988. Phytoplankton growth rates in a light-limited environment,</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44, 167–173.</w:t>
      </w:r>
    </w:p>
    <w:bookmarkEnd w:id="55"/>
    <w:bookmarkStart w:id="56" w:name="ref-Beck21"/>
    <w:p>
      <w:pPr>
        <w:pStyle w:val="Bibliography"/>
      </w:pPr>
      <w:r>
        <w:t xml:space="preserve">Beck, M.W., de Valpine, P., Murpy, R., Wren, I., Chelsky, A., Foley, M., Senn, D., 2021.</w:t>
      </w:r>
      <w:r>
        <w:t xml:space="preserve"> </w:t>
      </w:r>
      <w:r>
        <w:t xml:space="preserve">tbep-tech/wqtrends: v1.1.0 (Version v1.1.0). Zenodo. http://doi.org/10.5281/zenodo.4509638</w:t>
      </w:r>
      <w:r>
        <w:t xml:space="preserve">.</w:t>
      </w:r>
    </w:p>
    <w:bookmarkEnd w:id="56"/>
    <w:bookmarkStart w:id="58"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7">
        <w:r>
          <w:rPr>
            <w:rStyle w:val="Hyperlink"/>
          </w:rPr>
          <w:t xml:space="preserve">https://doi.org/10.1007/s10666-015-9452-8</w:t>
        </w:r>
      </w:hyperlink>
    </w:p>
    <w:bookmarkEnd w:id="58"/>
    <w:bookmarkStart w:id="60" w:name="ref-Beck18b"/>
    <w:p>
      <w:pPr>
        <w:pStyle w:val="Bibliography"/>
      </w:pPr>
      <w:r>
        <w:t xml:space="preserve">Beck, M.W., Jabusch, T.W., Trowbridge, P.R., Senn, D.B., 2018. Four decades of water quality change in the upper</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212, 11–22.</w:t>
      </w:r>
      <w:r>
        <w:t xml:space="preserve"> </w:t>
      </w:r>
      <w:hyperlink r:id="rId59">
        <w:r>
          <w:rPr>
            <w:rStyle w:val="Hyperlink"/>
          </w:rPr>
          <w:t xml:space="preserve">https://doi.org/10.1016/j.ecss.2018.06.021</w:t>
        </w:r>
      </w:hyperlink>
    </w:p>
    <w:bookmarkEnd w:id="60"/>
    <w:bookmarkStart w:id="62"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1">
        <w:r>
          <w:rPr>
            <w:rStyle w:val="Hyperlink"/>
          </w:rPr>
          <w:t xml:space="preserve">https://doi.org/10.1111/1752-1688.12489</w:t>
        </w:r>
      </w:hyperlink>
    </w:p>
    <w:bookmarkEnd w:id="62"/>
    <w:bookmarkStart w:id="63" w:name="ref-Cleveland90"/>
    <w:p>
      <w:pPr>
        <w:pStyle w:val="Bibliography"/>
      </w:pPr>
      <w:r>
        <w:t xml:space="preserve">Cleveland, R.B., Cleveland, W.S., McRae, J.E., Terpenning, I., 1990.</w:t>
      </w:r>
      <w:r>
        <w:t xml:space="preserve"> </w:t>
      </w:r>
      <w:r>
        <w:t xml:space="preserve">STL</w:t>
      </w:r>
      <w:r>
        <w:t xml:space="preserve">: A seasonal-trend decomposition procedure based on</w:t>
      </w:r>
      <w:r>
        <w:t xml:space="preserve"> </w:t>
      </w:r>
      <w:r>
        <w:t xml:space="preserve">L</w:t>
      </w:r>
      <w:r>
        <w:t xml:space="preserve">oess. Journal of Official Statistics 6, 3–73.</w:t>
      </w:r>
    </w:p>
    <w:bookmarkEnd w:id="63"/>
    <w:bookmarkStart w:id="65" w:name="ref-Cloern12"/>
    <w:p>
      <w:pPr>
        <w:pStyle w:val="Bibliography"/>
      </w:pPr>
      <w:r>
        <w:t xml:space="preserve">Cloern, J.E., Jassby, A.D., 2012. Drivers of change in estuarine-coastal ecosystems: Discoveries from four decades of study in</w:t>
      </w:r>
      <w:r>
        <w:t xml:space="preserve"> </w:t>
      </w:r>
      <w:r>
        <w:t xml:space="preserve">S</w:t>
      </w:r>
      <w:r>
        <w:t xml:space="preserve">an</w:t>
      </w:r>
      <w:r>
        <w:t xml:space="preserve"> </w:t>
      </w:r>
      <w:r>
        <w:t xml:space="preserve">F</w:t>
      </w:r>
      <w:r>
        <w:t xml:space="preserve">rancisco</w:t>
      </w:r>
      <w:r>
        <w:t xml:space="preserve"> </w:t>
      </w:r>
      <w:r>
        <w:t xml:space="preserve">B</w:t>
      </w:r>
      <w:r>
        <w:t xml:space="preserve">ay. Reviews of Geophysics 50.</w:t>
      </w:r>
      <w:r>
        <w:t xml:space="preserve"> </w:t>
      </w:r>
      <w:hyperlink r:id="rId64">
        <w:r>
          <w:rPr>
            <w:rStyle w:val="Hyperlink"/>
          </w:rPr>
          <w:t xml:space="preserve">https://doi.org/10.1029/2012RG000397</w:t>
        </w:r>
      </w:hyperlink>
    </w:p>
    <w:bookmarkEnd w:id="65"/>
    <w:bookmarkStart w:id="66" w:name="ref-Cloern10"/>
    <w:p>
      <w:pPr>
        <w:pStyle w:val="Bibliography"/>
      </w:pPr>
      <w:r>
        <w:t xml:space="preserve">Cloern, J.E., Jassby, A.D., 2010. Patterns and scales of phytoplankton variability in estuarine-coastal ecosystems. Estuaries and Coasts 33, 230–241.</w:t>
      </w:r>
    </w:p>
    <w:bookmarkEnd w:id="66"/>
    <w:bookmarkStart w:id="67" w:name="ref-Cloern07"/>
    <w:p>
      <w:pPr>
        <w:pStyle w:val="Bibliography"/>
      </w:pPr>
      <w:r>
        <w:t xml:space="preserve">Cloern, J.E., Jassby, A.D., Thompson, J.K., Hieb, K.A., 2007. A cold phase of the</w:t>
      </w:r>
      <w:r>
        <w:t xml:space="preserve"> </w:t>
      </w:r>
      <w:r>
        <w:t xml:space="preserve">E</w:t>
      </w:r>
      <w:r>
        <w:t xml:space="preserve">ast</w:t>
      </w:r>
      <w:r>
        <w:t xml:space="preserve"> </w:t>
      </w:r>
      <w:r>
        <w:t xml:space="preserve">P</w:t>
      </w:r>
      <w:r>
        <w:t xml:space="preserve">acific triggers new phytoplankton blooms in</w:t>
      </w:r>
      <w:r>
        <w:t xml:space="preserve"> </w:t>
      </w:r>
      <w:r>
        <w:t xml:space="preserve">S</w:t>
      </w:r>
      <w:r>
        <w:t xml:space="preserve">an</w:t>
      </w:r>
      <w:r>
        <w:t xml:space="preserve"> </w:t>
      </w:r>
      <w:r>
        <w:t xml:space="preserve">F</w:t>
      </w:r>
      <w:r>
        <w:t xml:space="preserve">rancisco</w:t>
      </w:r>
      <w:r>
        <w:t xml:space="preserve"> </w:t>
      </w:r>
      <w:r>
        <w:t xml:space="preserve">B</w:t>
      </w:r>
      <w:r>
        <w:t xml:space="preserve">ay. Proceedings of the National Academy of Sciences of the United States of America 104, 18561–18565.</w:t>
      </w:r>
    </w:p>
    <w:bookmarkEnd w:id="67"/>
    <w:bookmarkStart w:id="68" w:name="ref-Cloern16"/>
    <w:p>
      <w:pPr>
        <w:pStyle w:val="Bibliography"/>
      </w:pPr>
      <w:r>
        <w:t xml:space="preserve">Cloern, J.E., Schraga, T.S., 2016.</w:t>
      </w:r>
      <w:r>
        <w:t xml:space="preserve"> </w:t>
      </w:r>
      <w:r>
        <w:t xml:space="preserve">USGS measurements of water quality in San Francisco</w:t>
      </w:r>
      <w:r>
        <w:t xml:space="preserve"> </w:t>
      </w:r>
      <w:r>
        <w:t xml:space="preserve">B</w:t>
      </w:r>
      <w:r>
        <w:t xml:space="preserve">ay (CA), 1969-2015: U.S. Geological Survey data release. https://doi.org/10.5066/F7TQ5ZPR</w:t>
      </w:r>
      <w:r>
        <w:t xml:space="preserve">.</w:t>
      </w:r>
    </w:p>
    <w:bookmarkEnd w:id="68"/>
    <w:bookmarkStart w:id="70" w:name="ref-Cloern20"/>
    <w:p>
      <w:pPr>
        <w:pStyle w:val="Bibliography"/>
      </w:pPr>
      <w:r>
        <w:t xml:space="preserve">Cloern, J.E., Shcraga, T.S., Nejad, E., Martin, C., 2020. Nutrient status of</w:t>
      </w:r>
      <w:r>
        <w:t xml:space="preserve"> </w:t>
      </w:r>
      <w:r>
        <w:t xml:space="preserve">S</w:t>
      </w:r>
      <w:r>
        <w:t xml:space="preserve">an</w:t>
      </w:r>
      <w:r>
        <w:t xml:space="preserve"> </w:t>
      </w:r>
      <w:r>
        <w:t xml:space="preserve">F</w:t>
      </w:r>
      <w:r>
        <w:t xml:space="preserve">rancisco</w:t>
      </w:r>
      <w:r>
        <w:t xml:space="preserve"> </w:t>
      </w:r>
      <w:r>
        <w:t xml:space="preserve">B</w:t>
      </w:r>
      <w:r>
        <w:t xml:space="preserve">ay and its management implications. Estuaries &amp; Coasts 43, 1299–1317.</w:t>
      </w:r>
      <w:r>
        <w:t xml:space="preserve"> </w:t>
      </w:r>
      <w:hyperlink r:id="rId69">
        <w:r>
          <w:rPr>
            <w:rStyle w:val="Hyperlink"/>
          </w:rPr>
          <w:t xml:space="preserve">https://doi.org/10.1007/s12237-020-00737-w</w:t>
        </w:r>
      </w:hyperlink>
    </w:p>
    <w:bookmarkEnd w:id="70"/>
    <w:bookmarkStart w:id="71" w:name="ref-Cole84"/>
    <w:p>
      <w:pPr>
        <w:pStyle w:val="Bibliography"/>
      </w:pPr>
      <w:r>
        <w:t xml:space="preserve">Cole, B.E., Cloern, J.E., 1984. Significance of biomass and light availability to phytoplankton productivity in</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17, 15–24.</w:t>
      </w:r>
    </w:p>
    <w:bookmarkEnd w:id="71"/>
    <w:bookmarkStart w:id="72" w:name="ref-Cumming06"/>
    <w:p>
      <w:pPr>
        <w:pStyle w:val="Bibliography"/>
      </w:pPr>
      <w:r>
        <w:t xml:space="preserve">Cumming, G.S., Cumming, D.H.M., Redman, C.L., 2006. Scale mismatches in social-ecological systems: Causes, consequences, and solutions. Ecology and Society 11, 14.</w:t>
      </w:r>
    </w:p>
    <w:bookmarkEnd w:id="72"/>
    <w:bookmarkStart w:id="74" w:name="ref-Forbes18"/>
    <w:p>
      <w:pPr>
        <w:pStyle w:val="Bibliography"/>
      </w:pPr>
      <w:r>
        <w:t xml:space="preserve">Forbes, D.J., Xie, Z., 2018. Identifying process scales in the</w:t>
      </w:r>
      <w:r>
        <w:t xml:space="preserve"> </w:t>
      </w:r>
      <w:r>
        <w:t xml:space="preserve">I</w:t>
      </w:r>
      <w:r>
        <w:t xml:space="preserve">ndian</w:t>
      </w:r>
      <w:r>
        <w:t xml:space="preserve"> </w:t>
      </w:r>
      <w:r>
        <w:t xml:space="preserve">R</w:t>
      </w:r>
      <w:r>
        <w:t xml:space="preserve">iver</w:t>
      </w:r>
      <w:r>
        <w:t xml:space="preserve"> </w:t>
      </w:r>
      <w:r>
        <w:t xml:space="preserve">L</w:t>
      </w:r>
      <w:r>
        <w:t xml:space="preserve">agoon,</w:t>
      </w:r>
      <w:r>
        <w:t xml:space="preserve"> </w:t>
      </w:r>
      <w:r>
        <w:t xml:space="preserve">F</w:t>
      </w:r>
      <w:r>
        <w:t xml:space="preserve">lorida using wavelet transform analysis of dissolved oxygen. Ecological Complexity 36, 149–167.</w:t>
      </w:r>
      <w:r>
        <w:t xml:space="preserve"> </w:t>
      </w:r>
      <w:hyperlink r:id="rId73">
        <w:r>
          <w:rPr>
            <w:rStyle w:val="Hyperlink"/>
          </w:rPr>
          <w:t xml:space="preserve">https://doi.org/10.1016/j.ecocom.2018.07.005</w:t>
        </w:r>
      </w:hyperlink>
    </w:p>
    <w:bookmarkEnd w:id="74"/>
    <w:bookmarkStart w:id="76"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5">
        <w:r>
          <w:rPr>
            <w:rStyle w:val="Hyperlink"/>
          </w:rPr>
          <w:t xml:space="preserve">https://doi.org/10.1002/sim.5471</w:t>
        </w:r>
      </w:hyperlink>
    </w:p>
    <w:bookmarkEnd w:id="76"/>
    <w:bookmarkStart w:id="77" w:name="ref-Hafen10"/>
    <w:p>
      <w:pPr>
        <w:pStyle w:val="Bibliography"/>
      </w:pPr>
      <w:r>
        <w:t xml:space="preserve">Hafen, R.P., 2010. Local regression models: Advancements, applications, and new methods (PhD thesis). Purdue University, West Lafayette, Indiana.</w:t>
      </w:r>
    </w:p>
    <w:bookmarkEnd w:id="77"/>
    <w:bookmarkStart w:id="78" w:name="ref-Haraguchi15"/>
    <w:p>
      <w:pPr>
        <w:pStyle w:val="Bibliography"/>
      </w:pPr>
      <w:r>
        <w:t xml:space="preserve">Haraguchi, L., Carstensen, J., Abreu, P.C., Odebrecht, C., 2015. Long-term changes of the phytoplankton community and biomass in the subtropical shallow</w:t>
      </w:r>
      <w:r>
        <w:t xml:space="preserve"> </w:t>
      </w:r>
      <w:r>
        <w:t xml:space="preserve">P</w:t>
      </w:r>
      <w:r>
        <w:t xml:space="preserve">atos</w:t>
      </w:r>
      <w:r>
        <w:t xml:space="preserve"> </w:t>
      </w:r>
      <w:r>
        <w:t xml:space="preserve">L</w:t>
      </w:r>
      <w:r>
        <w:t xml:space="preserve">agoon</w:t>
      </w:r>
      <w:r>
        <w:t xml:space="preserve"> </w:t>
      </w:r>
      <w:r>
        <w:t xml:space="preserve">E</w:t>
      </w:r>
      <w:r>
        <w:t xml:space="preserve">stuary,</w:t>
      </w:r>
      <w:r>
        <w:t xml:space="preserve"> </w:t>
      </w:r>
      <w:r>
        <w:t xml:space="preserve">B</w:t>
      </w:r>
      <w:r>
        <w:t xml:space="preserve">razil. Estuarine, Coastal and Shelf Science 162, 76–87.</w:t>
      </w:r>
    </w:p>
    <w:bookmarkEnd w:id="78"/>
    <w:bookmarkStart w:id="80" w:name="ref-He06"/>
    <w:p>
      <w:pPr>
        <w:pStyle w:val="Bibliography"/>
      </w:pPr>
      <w:r>
        <w:t xml:space="preserve">He, S., Mazumdar, S., Arena, V.C., 2006. A comparative study of the use of</w:t>
      </w:r>
      <w:r>
        <w:t xml:space="preserve"> </w:t>
      </w:r>
      <w:r>
        <w:t xml:space="preserve">GAM</w:t>
      </w:r>
      <w:r>
        <w:t xml:space="preserve"> </w:t>
      </w:r>
      <w:r>
        <w:t xml:space="preserve">and</w:t>
      </w:r>
      <w:r>
        <w:t xml:space="preserve"> </w:t>
      </w:r>
      <w:r>
        <w:t xml:space="preserve">GLM</w:t>
      </w:r>
      <w:r>
        <w:t xml:space="preserve"> </w:t>
      </w:r>
      <w:r>
        <w:t xml:space="preserve">in air pollution research. Environmetrics 17, 81–93.</w:t>
      </w:r>
      <w:r>
        <w:t xml:space="preserve"> </w:t>
      </w:r>
      <w:hyperlink r:id="rId79">
        <w:r>
          <w:rPr>
            <w:rStyle w:val="Hyperlink"/>
          </w:rPr>
          <w:t xml:space="preserve">https://doi.org/10.1002/env.751</w:t>
        </w:r>
      </w:hyperlink>
    </w:p>
    <w:bookmarkEnd w:id="80"/>
    <w:bookmarkStart w:id="81" w:name="ref-Helsel20"/>
    <w:p>
      <w:pPr>
        <w:pStyle w:val="Bibliography"/>
      </w:pPr>
      <w:r>
        <w:t xml:space="preserve">Helsel, D.R., Hirsch, R.M., Ryberg, K.R., Archfield, S.A., Gilroy, E.J., 2020. Statistical methods in water resources, 2nd ed.</w:t>
      </w:r>
      <w:r>
        <w:t xml:space="preserve"> </w:t>
      </w:r>
      <w:r>
        <w:t xml:space="preserve">U.S.</w:t>
      </w:r>
      <w:r>
        <w:t xml:space="preserve"> </w:t>
      </w:r>
      <w:r>
        <w:t xml:space="preserve">Geological Survey Techniques; Methods, book 4, chapter A3, version 1.1, Reston, Virginia.</w:t>
      </w:r>
    </w:p>
    <w:bookmarkEnd w:id="81"/>
    <w:bookmarkStart w:id="83"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2">
        <w:r>
          <w:rPr>
            <w:rStyle w:val="Hyperlink"/>
          </w:rPr>
          <w:t xml:space="preserve">https://doi.org/10.1016/j.envsoft.2015.07.017</w:t>
        </w:r>
      </w:hyperlink>
    </w:p>
    <w:bookmarkEnd w:id="83"/>
    <w:bookmarkStart w:id="84" w:name="ref-Hirsch10"/>
    <w:p>
      <w:pPr>
        <w:pStyle w:val="Bibliography"/>
      </w:pPr>
      <w:r>
        <w:t xml:space="preserve">Hirsch, R.M., Moyer, D.L., Archfield, S.A., 2010. Weighted regressions on time, discharge, and season (</w:t>
      </w:r>
      <w:r>
        <w:t xml:space="preserve">WRTDS</w:t>
      </w:r>
      <w:r>
        <w:t xml:space="preserve">), with an application to</w:t>
      </w:r>
      <w:r>
        <w:t xml:space="preserve"> </w:t>
      </w:r>
      <w:r>
        <w:t xml:space="preserve">C</w:t>
      </w:r>
      <w:r>
        <w:t xml:space="preserve">hesapeake</w:t>
      </w:r>
      <w:r>
        <w:t xml:space="preserve"> </w:t>
      </w:r>
      <w:r>
        <w:t xml:space="preserve">B</w:t>
      </w:r>
      <w:r>
        <w:t xml:space="preserve">ay river inputs. Journal of the American Water Resources Association 46, 857–880.</w:t>
      </w:r>
    </w:p>
    <w:bookmarkEnd w:id="84"/>
    <w:bookmarkStart w:id="85" w:name="ref-Hirsch82"/>
    <w:p>
      <w:pPr>
        <w:pStyle w:val="Bibliography"/>
      </w:pPr>
      <w:r>
        <w:t xml:space="preserve">Hirsch, R.M., Slack, J.R., Smith, R.A., 1982. Techniques of trend analysis for monthly water quality data. Water Resources Research 18, 107–121.</w:t>
      </w:r>
    </w:p>
    <w:bookmarkEnd w:id="85"/>
    <w:bookmarkStart w:id="86" w:name="ref-Jassby08"/>
    <w:p>
      <w:pPr>
        <w:pStyle w:val="Bibliography"/>
      </w:pPr>
      <w:r>
        <w:t xml:space="preserve">Jassby, A.D., 2008. Phytoplankton in the</w:t>
      </w:r>
      <w:r>
        <w:t xml:space="preserve"> </w:t>
      </w:r>
      <w:r>
        <w:t xml:space="preserve">U</w:t>
      </w:r>
      <w:r>
        <w:t xml:space="preserve">pper</w:t>
      </w:r>
      <w:r>
        <w:t xml:space="preserve"> </w:t>
      </w:r>
      <w:r>
        <w:t xml:space="preserve">S</w:t>
      </w:r>
      <w:r>
        <w:t xml:space="preserve">an</w:t>
      </w:r>
      <w:r>
        <w:t xml:space="preserve"> </w:t>
      </w:r>
      <w:r>
        <w:t xml:space="preserve">F</w:t>
      </w:r>
      <w:r>
        <w:t xml:space="preserve">rancisco</w:t>
      </w:r>
      <w:r>
        <w:t xml:space="preserve"> </w:t>
      </w:r>
      <w:r>
        <w:t xml:space="preserve">E</w:t>
      </w:r>
      <w:r>
        <w:t xml:space="preserve">stuary: Recent biomass trends, their causes, and their trophic significance. San Francisco Estuary and Watershed Science 6, 1–24.</w:t>
      </w:r>
    </w:p>
    <w:bookmarkEnd w:id="86"/>
    <w:bookmarkStart w:id="87" w:name="ref-Jassby02"/>
    <w:p>
      <w:pPr>
        <w:pStyle w:val="Bibliography"/>
      </w:pPr>
      <w:r>
        <w:t xml:space="preserve">Jassby, A.D., Cloern, J.E., Cole, B.E., 2002. Annual primary production: Patterns and mechanisms of change in a nutrient-rich tidal ecosystem. Limnology and Oceanography 47, 698–712.</w:t>
      </w:r>
    </w:p>
    <w:bookmarkEnd w:id="87"/>
    <w:bookmarkStart w:id="89"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8">
        <w:r>
          <w:rPr>
            <w:rStyle w:val="Hyperlink"/>
          </w:rPr>
          <w:t xml:space="preserve">https://doi.org/10.1016/j.atmosenv.2004.02.026</w:t>
        </w:r>
      </w:hyperlink>
    </w:p>
    <w:bookmarkEnd w:id="89"/>
    <w:bookmarkStart w:id="90" w:name="ref-Kimmerer14"/>
    <w:p>
      <w:pPr>
        <w:pStyle w:val="Bibliography"/>
      </w:pPr>
      <w:r>
        <w:t xml:space="preserve">Kimmerer, W.J., Thompson, J.K., 2014. Phytoplankton growth balanced by clam and zooplankton grazing and net transport into the low-salinity zone of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Estuaries and Coasts 37, 1202–1218.</w:t>
      </w:r>
    </w:p>
    <w:bookmarkEnd w:id="90"/>
    <w:bookmarkStart w:id="92" w:name="ref-Lefcheck17"/>
    <w:p>
      <w:pPr>
        <w:pStyle w:val="Bibliography"/>
      </w:pPr>
      <w:r>
        <w:t xml:space="preserve">Lefcheck, J.S., Wilcox, D.J., Murphy, R.R., Marion, S.R., Orth, R.J., 2017. Multiple stressors threaten the imperiled coastal foundation species eelgrass (</w:t>
      </w:r>
      <w:r>
        <w:rPr>
          <w:iCs/>
          <w:i/>
        </w:rPr>
        <w:t xml:space="preserve">zostera marina</w:t>
      </w:r>
      <w:r>
        <w:t xml:space="preserve">) in</w:t>
      </w:r>
      <w:r>
        <w:t xml:space="preserve"> </w:t>
      </w:r>
      <w:r>
        <w:t xml:space="preserve">C</w:t>
      </w:r>
      <w:r>
        <w:t xml:space="preserve">hesapeake</w:t>
      </w:r>
      <w:r>
        <w:t xml:space="preserve"> </w:t>
      </w:r>
      <w:r>
        <w:t xml:space="preserve">B</w:t>
      </w:r>
      <w:r>
        <w:t xml:space="preserve">ay,</w:t>
      </w:r>
      <w:r>
        <w:t xml:space="preserve"> </w:t>
      </w:r>
      <w:r>
        <w:t xml:space="preserve">USA</w:t>
      </w:r>
      <w:r>
        <w:t xml:space="preserve">. Global Change Biology 23, 3474–3483.</w:t>
      </w:r>
      <w:r>
        <w:t xml:space="preserve"> </w:t>
      </w:r>
      <w:hyperlink r:id="rId91">
        <w:r>
          <w:rPr>
            <w:rStyle w:val="Hyperlink"/>
          </w:rPr>
          <w:t xml:space="preserve">https://doi.org/10.1111/gcb.13623</w:t>
        </w:r>
      </w:hyperlink>
    </w:p>
    <w:bookmarkEnd w:id="92"/>
    <w:bookmarkStart w:id="94" w:name="ref-Lehman17"/>
    <w:p>
      <w:pPr>
        <w:pStyle w:val="Bibliography"/>
      </w:pPr>
      <w:r>
        <w:t xml:space="preserve">Lehman, P.W., Kurobe, T., Lesmeister, S., Baxa, D., Tung, A., Teh, S.J., 2017. Impacts of the 2014 severe drought on the</w:t>
      </w:r>
      <w:r>
        <w:t xml:space="preserve"> </w:t>
      </w:r>
      <w:r>
        <w:t xml:space="preserve">M</w:t>
      </w:r>
      <w:r>
        <w:t xml:space="preserve">icrocystis bloom in</w:t>
      </w:r>
      <w:r>
        <w:t xml:space="preserve"> </w:t>
      </w:r>
      <w:r>
        <w:t xml:space="preserve">S</w:t>
      </w:r>
      <w:r>
        <w:t xml:space="preserve">an</w:t>
      </w:r>
      <w:r>
        <w:t xml:space="preserve"> </w:t>
      </w:r>
      <w:r>
        <w:t xml:space="preserve">F</w:t>
      </w:r>
      <w:r>
        <w:t xml:space="preserve">rancisco</w:t>
      </w:r>
      <w:r>
        <w:t xml:space="preserve"> </w:t>
      </w:r>
      <w:r>
        <w:t xml:space="preserve">E</w:t>
      </w:r>
      <w:r>
        <w:t xml:space="preserve">stuary. Harmful Algae 63, 94–108.</w:t>
      </w:r>
      <w:r>
        <w:t xml:space="preserve"> </w:t>
      </w:r>
      <w:hyperlink r:id="rId93">
        <w:r>
          <w:rPr>
            <w:rStyle w:val="Hyperlink"/>
          </w:rPr>
          <w:t xml:space="preserve">https://doi.org/10.1016/j.hal.2017.01.011</w:t>
        </w:r>
      </w:hyperlink>
    </w:p>
    <w:bookmarkEnd w:id="94"/>
    <w:bookmarkStart w:id="96" w:name="ref-Lortie14"/>
    <w:p>
      <w:pPr>
        <w:pStyle w:val="Bibliography"/>
      </w:pPr>
      <w:r>
        <w:t xml:space="preserve">Lortie, C.J., 2014. Formalized synthesis opportunities for ecology: Systematic reviews and meta-analyses. OIKOS 123, 897–902.</w:t>
      </w:r>
      <w:r>
        <w:t xml:space="preserve"> </w:t>
      </w:r>
      <w:hyperlink r:id="rId95">
        <w:r>
          <w:rPr>
            <w:rStyle w:val="Hyperlink"/>
          </w:rPr>
          <w:t xml:space="preserve">https://doi.org/10.1111/j.1600-0706.2013.00970.x</w:t>
        </w:r>
      </w:hyperlink>
    </w:p>
    <w:bookmarkEnd w:id="96"/>
    <w:bookmarkStart w:id="98"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7">
        <w:r>
          <w:rPr>
            <w:rStyle w:val="Hyperlink"/>
          </w:rPr>
          <w:t xml:space="preserve">https://doi.org/10.1029/2007WR006191</w:t>
        </w:r>
      </w:hyperlink>
    </w:p>
    <w:bookmarkEnd w:id="98"/>
    <w:bookmarkStart w:id="10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99">
        <w:r>
          <w:rPr>
            <w:rStyle w:val="Hyperlink"/>
          </w:rPr>
          <w:t xml:space="preserve">https://doi.org/10.1016/j.envsoft.2019.03.027</w:t>
        </w:r>
      </w:hyperlink>
    </w:p>
    <w:bookmarkEnd w:id="100"/>
    <w:bookmarkStart w:id="102" w:name="ref-Navarro12"/>
    <w:p>
      <w:pPr>
        <w:pStyle w:val="Bibliography"/>
      </w:pPr>
      <w:r>
        <w:t xml:space="preserve">Navarro, G., Caballero, I., Prieto, L., Vázquez, A., Flecha, S., Huertas, I.E., Ruiz, J., 2012. Seasonal-to-interannual variability of chlorophyll-</w:t>
      </w:r>
      <w:r>
        <w:rPr>
          <w:iCs/>
          <w:i/>
        </w:rPr>
        <w:t xml:space="preserve">a</w:t>
      </w:r>
      <w:r>
        <w:t xml:space="preserve"> </w:t>
      </w:r>
      <w:r>
        <w:t xml:space="preserve">bloom timing associated with physical forcing in the</w:t>
      </w:r>
      <w:r>
        <w:t xml:space="preserve"> </w:t>
      </w:r>
      <w:r>
        <w:t xml:space="preserve">G</w:t>
      </w:r>
      <w:r>
        <w:t xml:space="preserve">ulf of</w:t>
      </w:r>
      <w:r>
        <w:t xml:space="preserve"> </w:t>
      </w:r>
      <w:r>
        <w:t xml:space="preserve">C</w:t>
      </w:r>
      <w:r>
        <w:t xml:space="preserve">ádiz. Advances in Space Research 50, 1164–1172.</w:t>
      </w:r>
      <w:r>
        <w:t xml:space="preserve"> </w:t>
      </w:r>
      <w:hyperlink r:id="rId101">
        <w:r>
          <w:rPr>
            <w:rStyle w:val="Hyperlink"/>
          </w:rPr>
          <w:t xml:space="preserve">https://doi.org/10.1016/j.asr.2011.11.034</w:t>
        </w:r>
      </w:hyperlink>
    </w:p>
    <w:bookmarkEnd w:id="102"/>
    <w:bookmarkStart w:id="103" w:name="ref-Novick14"/>
    <w:p>
      <w:pPr>
        <w:pStyle w:val="Bibliography"/>
      </w:pPr>
      <w:r>
        <w:t xml:space="preserve">Novick, E., Senn, D., 2014. External nutrient loads to</w:t>
      </w:r>
      <w:r>
        <w:t xml:space="preserve"> </w:t>
      </w:r>
      <w:r>
        <w:t xml:space="preserve">S</w:t>
      </w:r>
      <w:r>
        <w:t xml:space="preserve">an</w:t>
      </w:r>
      <w:r>
        <w:t xml:space="preserve"> </w:t>
      </w:r>
      <w:r>
        <w:t xml:space="preserve">F</w:t>
      </w:r>
      <w:r>
        <w:t xml:space="preserve">rancisco</w:t>
      </w:r>
      <w:r>
        <w:t xml:space="preserve"> </w:t>
      </w:r>
      <w:r>
        <w:t xml:space="preserve">B</w:t>
      </w:r>
      <w:r>
        <w:t xml:space="preserve">ay (No. Contribution Number 704). San Francisco Estuary Institute, Richmond, CA.</w:t>
      </w:r>
    </w:p>
    <w:bookmarkEnd w:id="103"/>
    <w:bookmarkStart w:id="105"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4">
        <w:r>
          <w:rPr>
            <w:rStyle w:val="Hyperlink"/>
          </w:rPr>
          <w:t xml:space="preserve">https://doi.org/10.1016/j.atmosenv.2010.11.051</w:t>
        </w:r>
      </w:hyperlink>
    </w:p>
    <w:bookmarkEnd w:id="105"/>
    <w:bookmarkStart w:id="106" w:name="ref-RCT20"/>
    <w:p>
      <w:pPr>
        <w:pStyle w:val="Bibliography"/>
      </w:pPr>
      <w:r>
        <w:t xml:space="preserve">R Core Team, 2020. R: A language and environment for statistical computing. R Foundation for Statistical Computing, R v4.0.2, Vienna, Austria.</w:t>
      </w:r>
    </w:p>
    <w:bookmarkEnd w:id="106"/>
    <w:bookmarkStart w:id="108"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7">
        <w:r>
          <w:rPr>
            <w:rStyle w:val="Hyperlink"/>
          </w:rPr>
          <w:t xml:space="preserve">https://doi.org/10.1016/j.rse.2014.05.016</w:t>
        </w:r>
      </w:hyperlink>
    </w:p>
    <w:bookmarkEnd w:id="108"/>
    <w:bookmarkStart w:id="109" w:name="ref-Schraga20"/>
    <w:p>
      <w:pPr>
        <w:pStyle w:val="Bibliography"/>
      </w:pPr>
      <w:r>
        <w:t xml:space="preserve">Schraga, T.S., Nejad, E.S., Martin, C.A., Cloern, J.E., 2020.</w:t>
      </w:r>
      <w:r>
        <w:t xml:space="preserve"> </w:t>
      </w:r>
      <w:r>
        <w:t xml:space="preserve">USGS measurements of water quality in San Francisco (CA), beginning in 2016 (ver. 3.0, March 2020): U.S. Geological Survey data release. https://doi.org/10.5066/F7D21WGF</w:t>
      </w:r>
      <w:r>
        <w:t xml:space="preserve">.</w:t>
      </w:r>
    </w:p>
    <w:bookmarkEnd w:id="109"/>
    <w:bookmarkStart w:id="111" w:name="ref-Sera19"/>
    <w:p>
      <w:pPr>
        <w:pStyle w:val="Bibliography"/>
      </w:pPr>
      <w:r>
        <w:t xml:space="preserve">Sera, F., Armstrong, B., Blangiardo, M., Gasparrini, A., 2019. An extended mixed-effects framework for meta-analysis. Statistics in Medicine 38, 5429–5444.</w:t>
      </w:r>
      <w:r>
        <w:t xml:space="preserve"> </w:t>
      </w:r>
      <w:hyperlink r:id="rId110">
        <w:r>
          <w:rPr>
            <w:rStyle w:val="Hyperlink"/>
          </w:rPr>
          <w:t xml:space="preserve">https://doi.org/10.1002/sim.8362</w:t>
        </w:r>
      </w:hyperlink>
    </w:p>
    <w:bookmarkEnd w:id="111"/>
    <w:bookmarkStart w:id="113"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2">
        <w:r>
          <w:rPr>
            <w:rStyle w:val="Hyperlink"/>
          </w:rPr>
          <w:t xml:space="preserve">https://doi.org/10.1061/(ASCE)0733-9496(2003)129:4(330)</w:t>
        </w:r>
      </w:hyperlink>
    </w:p>
    <w:bookmarkEnd w:id="113"/>
    <w:bookmarkStart w:id="115" w:name="ref-Smith01"/>
    <w:p>
      <w:pPr>
        <w:pStyle w:val="Bibliography"/>
      </w:pPr>
      <w:r>
        <w:t xml:space="preserve">Smith, E.P., Ye, K., Hughes, C., Shabman, L., 2001. Statistical assessment of violations of water quality standards under section 303 (d) of the</w:t>
      </w:r>
      <w:r>
        <w:t xml:space="preserve"> </w:t>
      </w:r>
      <w:r>
        <w:t xml:space="preserve">C</w:t>
      </w:r>
      <w:r>
        <w:t xml:space="preserve">lean</w:t>
      </w:r>
      <w:r>
        <w:t xml:space="preserve"> </w:t>
      </w:r>
      <w:r>
        <w:t xml:space="preserve">W</w:t>
      </w:r>
      <w:r>
        <w:t xml:space="preserve">ater</w:t>
      </w:r>
      <w:r>
        <w:t xml:space="preserve"> </w:t>
      </w:r>
      <w:r>
        <w:t xml:space="preserve">A</w:t>
      </w:r>
      <w:r>
        <w:t xml:space="preserve">ct. Environmental science &amp; technology 35, 606–612.</w:t>
      </w:r>
      <w:r>
        <w:t xml:space="preserve"> </w:t>
      </w:r>
      <w:hyperlink r:id="rId114">
        <w:r>
          <w:rPr>
            <w:rStyle w:val="Hyperlink"/>
          </w:rPr>
          <w:t xml:space="preserve">https://doi.org/10.1021/es001159e</w:t>
        </w:r>
      </w:hyperlink>
    </w:p>
    <w:bookmarkEnd w:id="115"/>
    <w:bookmarkStart w:id="117" w:name="ref-Stow15"/>
    <w:p>
      <w:pPr>
        <w:pStyle w:val="Bibliography"/>
      </w:pPr>
      <w:r>
        <w:t xml:space="preserve">Stow, C.A., Cha, Y., Johnson, L.T., Confesor, R., Richards, R.P., 2015. Long-term and seasonal trend decomposition of</w:t>
      </w:r>
      <w:r>
        <w:t xml:space="preserve"> </w:t>
      </w:r>
      <w:r>
        <w:t xml:space="preserve">M</w:t>
      </w:r>
      <w:r>
        <w:t xml:space="preserve">aumee</w:t>
      </w:r>
      <w:r>
        <w:t xml:space="preserve"> </w:t>
      </w:r>
      <w:r>
        <w:t xml:space="preserve">R</w:t>
      </w:r>
      <w:r>
        <w:t xml:space="preserve">iver nutrient inputs to western</w:t>
      </w:r>
      <w:r>
        <w:t xml:space="preserve"> </w:t>
      </w:r>
      <w:r>
        <w:t xml:space="preserve">L</w:t>
      </w:r>
      <w:r>
        <w:t xml:space="preserve">ake</w:t>
      </w:r>
      <w:r>
        <w:t xml:space="preserve"> </w:t>
      </w:r>
      <w:r>
        <w:t xml:space="preserve">E</w:t>
      </w:r>
      <w:r>
        <w:t xml:space="preserve">rie. Environmental Science and Technology 49, 3392–3400.</w:t>
      </w:r>
      <w:r>
        <w:t xml:space="preserve"> </w:t>
      </w:r>
      <w:hyperlink r:id="rId116">
        <w:r>
          <w:rPr>
            <w:rStyle w:val="Hyperlink"/>
          </w:rPr>
          <w:t xml:space="preserve">https://doi.org/10.1021/es5062648</w:t>
        </w:r>
      </w:hyperlink>
    </w:p>
    <w:bookmarkEnd w:id="117"/>
    <w:bookmarkStart w:id="119" w:name="ref-Urquhart98"/>
    <w:p>
      <w:pPr>
        <w:pStyle w:val="Bibliography"/>
      </w:pPr>
      <w:r>
        <w:t xml:space="preserve">Urquhart, N.S., Paulsen, S.G., Larsen, D.P., 1998. Monitoring for policy-relevant regional trends over time. Ecological Applications 8, 246–257.</w:t>
      </w:r>
      <w:r>
        <w:t xml:space="preserve"> </w:t>
      </w:r>
      <w:hyperlink r:id="rId118">
        <w:r>
          <w:rPr>
            <w:rStyle w:val="Hyperlink"/>
          </w:rPr>
          <w:t xml:space="preserve">https://doi.org/10.1890/1051-0761(1998)008[0246:MFPRRO]2.0.CO;2</w:t>
        </w:r>
      </w:hyperlink>
    </w:p>
    <w:bookmarkEnd w:id="119"/>
    <w:bookmarkStart w:id="120" w:name="ref-Wan17"/>
    <w:p>
      <w:pPr>
        <w:pStyle w:val="Bibliography"/>
      </w:pPr>
      <w:r>
        <w:t xml:space="preserve">Wan, Y., Wan, L., Li, Y., Doering, P., 2017. Decadal and seasonal trends of nutrient concentration and export from highly managed coastal catchments. Water Research 115, 180–194.</w:t>
      </w:r>
    </w:p>
    <w:bookmarkEnd w:id="120"/>
    <w:bookmarkStart w:id="121" w:name="ref-Wood17"/>
    <w:p>
      <w:pPr>
        <w:pStyle w:val="Bibliography"/>
      </w:pPr>
      <w:r>
        <w:t xml:space="preserve">Wood, S.N., 2017. Generalized additive models: An introduction with r, 2nd ed. Chapman; Hall, CRC Press, London, United Kingdom.</w:t>
      </w:r>
    </w:p>
    <w:bookmarkEnd w:id="121"/>
    <w:bookmarkStart w:id="123"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2">
        <w:r>
          <w:rPr>
            <w:rStyle w:val="Hyperlink"/>
          </w:rPr>
          <w:t xml:space="preserve">https://doi.org/10.1198/016214504000000980</w:t>
        </w:r>
      </w:hyperlink>
    </w:p>
    <w:bookmarkEnd w:id="123"/>
    <w:bookmarkStart w:id="125" w:name="ref-Wood03"/>
    <w:p>
      <w:pPr>
        <w:pStyle w:val="Bibliography"/>
      </w:pPr>
      <w:r>
        <w:t xml:space="preserve">Wood, S.N., 2003. Thin-plate regression splines. Journal of the Royal Statistical Society (B) 65, 95–114.</w:t>
      </w:r>
      <w:r>
        <w:t xml:space="preserve"> </w:t>
      </w:r>
      <w:hyperlink r:id="rId124">
        <w:r>
          <w:rPr>
            <w:rStyle w:val="Hyperlink"/>
          </w:rPr>
          <w:t xml:space="preserve">https://doi.org/10.1111/1467-9868.00374</w:t>
        </w:r>
      </w:hyperlink>
    </w:p>
    <w:bookmarkEnd w:id="125"/>
    <w:bookmarkStart w:id="127" w:name="ref-Wood02"/>
    <w:p>
      <w:pPr>
        <w:pStyle w:val="Bibliography"/>
      </w:pPr>
      <w:r>
        <w:t xml:space="preserve">Wood, S.N., Augustin, N.H., 2002.</w:t>
      </w:r>
      <w:r>
        <w:t xml:space="preserve"> </w:t>
      </w:r>
      <w:r>
        <w:t xml:space="preserve">GAM</w:t>
      </w:r>
      <w:r>
        <w:t xml:space="preserve">s with integrated model selection using penalized regression splines and applications to environmental modelling. Ecological Modelling 157, 157–177.</w:t>
      </w:r>
      <w:r>
        <w:t xml:space="preserve"> </w:t>
      </w:r>
      <w:hyperlink r:id="rId126">
        <w:r>
          <w:rPr>
            <w:rStyle w:val="Hyperlink"/>
          </w:rPr>
          <w:t xml:space="preserve">https://doi.org/10.1016/S0304-3800(02)00193-X</w:t>
        </w:r>
      </w:hyperlink>
    </w:p>
    <w:bookmarkEnd w:id="127"/>
    <w:bookmarkStart w:id="128" w:name="ref-Yang20"/>
    <w:p>
      <w:pPr>
        <w:pStyle w:val="Bibliography"/>
      </w:pPr>
      <w:r>
        <w:t xml:space="preserve">Yang, G., Moyer, D.L., 2020. Estimation of nonlinear water-quality trends in high-frequency monitoring data. Science of The Total Environment 715, 10.1016/j.scitotenv.2020.136686.</w:t>
      </w:r>
    </w:p>
    <w:bookmarkEnd w:id="128"/>
    <w:bookmarkStart w:id="129" w:name="ref-Zuur09"/>
    <w:p>
      <w:pPr>
        <w:pStyle w:val="Bibliography"/>
      </w:pPr>
      <w:r>
        <w:t xml:space="preserve">Zuur, A.F., Ieno, E.N., Walker, N.J., Saveliev, A.A., Smith, G.M., 2009. Mixed effects models and extensions in ecology with r. Springer-Verlag, New York, New York.</w:t>
      </w:r>
    </w:p>
    <w:bookmarkEnd w:id="129"/>
    <w:bookmarkEnd w:id="130"/>
    <w:bookmarkEnd w:id="13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2021-07-01T12:02:25Z</dcterms:created>
  <dcterms:modified xsi:type="dcterms:W3CDTF">2021-07-01T12:02:25Z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